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kern w:val="0"/>
          <w:sz w:val="32"/>
          <w:szCs w:val="32"/>
        </w:rPr>
      </w:pPr>
      <w:r>
        <w:rPr>
          <w:rFonts w:hint="eastAsia" w:ascii="黑体" w:hAnsi="黑体" w:eastAsia="黑体"/>
          <w:kern w:val="0"/>
          <w:sz w:val="32"/>
          <w:szCs w:val="32"/>
        </w:rPr>
        <w:t>附件2：</w:t>
      </w:r>
    </w:p>
    <w:p>
      <w:pPr>
        <w:jc w:val="center"/>
        <w:rPr>
          <w:rFonts w:hint="eastAsia" w:ascii="方正小标宋简体" w:hAnsi="黑体" w:eastAsia="方正小标宋简体"/>
          <w:bCs/>
          <w:kern w:val="0"/>
          <w:sz w:val="44"/>
          <w:szCs w:val="44"/>
        </w:rPr>
      </w:pPr>
      <w:bookmarkStart w:id="0" w:name="_GoBack"/>
      <w:r>
        <w:rPr>
          <w:rFonts w:hint="eastAsia" w:ascii="方正小标宋简体" w:hAnsi="黑体" w:eastAsia="方正小标宋简体"/>
          <w:bCs/>
          <w:kern w:val="0"/>
          <w:sz w:val="44"/>
          <w:szCs w:val="44"/>
        </w:rPr>
        <w:t>2024年铜陵市软课题研究公开招标课题</w:t>
      </w:r>
    </w:p>
    <w:bookmarkEnd w:id="0"/>
    <w:tbl>
      <w:tblPr>
        <w:tblStyle w:val="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51"/>
        <w:gridCol w:w="6525"/>
        <w:gridCol w:w="15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5" w:hRule="atLeast"/>
          <w:jc w:val="center"/>
        </w:trPr>
        <w:tc>
          <w:tcPr>
            <w:tcW w:w="751" w:type="dxa"/>
            <w:noWrap w:val="0"/>
            <w:vAlign w:val="center"/>
          </w:tcPr>
          <w:p>
            <w:pPr>
              <w:widowControl/>
              <w:jc w:val="center"/>
              <w:rPr>
                <w:rFonts w:ascii="黑体" w:hAnsi="黑体" w:eastAsia="黑体"/>
                <w:kern w:val="0"/>
                <w:sz w:val="24"/>
              </w:rPr>
            </w:pPr>
            <w:r>
              <w:rPr>
                <w:rFonts w:hint="eastAsia" w:ascii="黑体" w:hAnsi="黑体" w:eastAsia="黑体"/>
                <w:kern w:val="0"/>
                <w:sz w:val="24"/>
              </w:rPr>
              <w:t>序号</w:t>
            </w:r>
          </w:p>
        </w:tc>
        <w:tc>
          <w:tcPr>
            <w:tcW w:w="6525" w:type="dxa"/>
            <w:noWrap w:val="0"/>
            <w:vAlign w:val="center"/>
          </w:tcPr>
          <w:p>
            <w:pPr>
              <w:widowControl/>
              <w:jc w:val="center"/>
              <w:rPr>
                <w:rFonts w:ascii="黑体" w:hAnsi="黑体" w:eastAsia="黑体"/>
                <w:kern w:val="0"/>
                <w:sz w:val="24"/>
              </w:rPr>
            </w:pPr>
            <w:r>
              <w:rPr>
                <w:rFonts w:hint="eastAsia" w:ascii="黑体" w:hAnsi="黑体" w:eastAsia="黑体"/>
                <w:kern w:val="0"/>
                <w:sz w:val="24"/>
              </w:rPr>
              <w:t>课 题 名 称</w:t>
            </w:r>
          </w:p>
        </w:tc>
        <w:tc>
          <w:tcPr>
            <w:tcW w:w="1538" w:type="dxa"/>
            <w:noWrap w:val="0"/>
            <w:vAlign w:val="center"/>
          </w:tcPr>
          <w:p>
            <w:pPr>
              <w:widowControl/>
              <w:jc w:val="center"/>
              <w:rPr>
                <w:rFonts w:ascii="黑体" w:hAnsi="黑体" w:eastAsia="黑体"/>
                <w:kern w:val="0"/>
                <w:sz w:val="24"/>
              </w:rPr>
            </w:pPr>
            <w:r>
              <w:rPr>
                <w:rFonts w:hint="eastAsia" w:ascii="黑体" w:hAnsi="黑体" w:eastAsia="黑体"/>
                <w:kern w:val="0"/>
                <w:sz w:val="24"/>
              </w:rPr>
              <w:t>编  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1</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关于铜陵市提升财政奖补资金质效绩效评价的对策研究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2</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关于铜陵市创建新时代枫桥式综治中心的思路和对策研究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3</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关于系统谋划推进长江国家文化公园铜陵段建设的对策研究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4</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关于进一步激励干部实干争先推动实现“挺进全省前列”目标的对策研究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5</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关于提升铜陵市校企合作实效性的对策研究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6</w:t>
            </w:r>
          </w:p>
        </w:tc>
        <w:tc>
          <w:tcPr>
            <w:tcW w:w="6525" w:type="dxa"/>
            <w:noWrap w:val="0"/>
            <w:vAlign w:val="center"/>
          </w:tcPr>
          <w:p>
            <w:pPr>
              <w:spacing w:line="360" w:lineRule="exact"/>
              <w:rPr>
                <w:rFonts w:hint="eastAsia" w:ascii="仿宋_GB2312" w:eastAsia="仿宋_GB2312"/>
                <w:sz w:val="24"/>
              </w:rPr>
            </w:pPr>
            <w:r>
              <w:rPr>
                <w:rFonts w:hint="eastAsia" w:ascii="仿宋_GB2312" w:hAnsi="仿宋" w:eastAsia="仿宋_GB2312"/>
                <w:kern w:val="0"/>
                <w:sz w:val="24"/>
              </w:rPr>
              <w:t>关于铜陵市加强文旅资源普查，推动文旅产业高质量发展的对策研究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7</w:t>
            </w:r>
          </w:p>
        </w:tc>
        <w:tc>
          <w:tcPr>
            <w:tcW w:w="6525" w:type="dxa"/>
            <w:noWrap w:val="0"/>
            <w:vAlign w:val="center"/>
          </w:tcPr>
          <w:p>
            <w:pPr>
              <w:spacing w:line="320" w:lineRule="exact"/>
              <w:rPr>
                <w:rFonts w:hint="eastAsia" w:ascii="仿宋_GB2312" w:hAnsi="仿宋" w:eastAsia="仿宋_GB2312"/>
                <w:kern w:val="0"/>
                <w:sz w:val="24"/>
              </w:rPr>
            </w:pPr>
            <w:r>
              <w:rPr>
                <w:rFonts w:hint="eastAsia" w:ascii="仿宋_GB2312" w:hAnsi="仿宋" w:eastAsia="仿宋_GB2312"/>
                <w:kern w:val="0"/>
                <w:sz w:val="24"/>
              </w:rPr>
              <w:t>关于铜陵市实施乡村产业提质增效工程做好“三头三尾”增值大文章的研究</w:t>
            </w:r>
          </w:p>
        </w:tc>
        <w:tc>
          <w:tcPr>
            <w:tcW w:w="1538" w:type="dxa"/>
            <w:noWrap w:val="0"/>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SRKT2024-07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8</w:t>
            </w:r>
          </w:p>
        </w:tc>
        <w:tc>
          <w:tcPr>
            <w:tcW w:w="6525" w:type="dxa"/>
            <w:noWrap w:val="0"/>
            <w:vAlign w:val="center"/>
          </w:tcPr>
          <w:p>
            <w:pPr>
              <w:spacing w:line="320" w:lineRule="exact"/>
              <w:rPr>
                <w:rFonts w:hint="eastAsia" w:ascii="仿宋_GB2312" w:hAnsi="仿宋" w:eastAsia="仿宋_GB2312"/>
                <w:kern w:val="0"/>
                <w:sz w:val="24"/>
              </w:rPr>
            </w:pPr>
            <w:r>
              <w:rPr>
                <w:rFonts w:hint="eastAsia" w:ascii="仿宋_GB2312" w:hAnsi="仿宋" w:eastAsia="仿宋_GB2312"/>
                <w:kern w:val="0"/>
                <w:sz w:val="24"/>
              </w:rPr>
              <w:t>关于铜陵市加强各类政策协调配合，激发有潜能的消费需求对策研究</w:t>
            </w:r>
          </w:p>
        </w:tc>
        <w:tc>
          <w:tcPr>
            <w:tcW w:w="1538" w:type="dxa"/>
            <w:noWrap w:val="0"/>
            <w:vAlign w:val="center"/>
          </w:tcPr>
          <w:p>
            <w:pPr>
              <w:spacing w:line="320" w:lineRule="exact"/>
              <w:jc w:val="center"/>
              <w:rPr>
                <w:rFonts w:hint="eastAsia" w:ascii="仿宋_GB2312" w:hAnsi="仿宋" w:eastAsia="仿宋_GB2312"/>
                <w:kern w:val="0"/>
                <w:sz w:val="24"/>
              </w:rPr>
            </w:pPr>
            <w:r>
              <w:rPr>
                <w:rFonts w:hint="eastAsia" w:ascii="仿宋_GB2312" w:hAnsi="仿宋" w:eastAsia="仿宋_GB2312"/>
                <w:kern w:val="0"/>
                <w:sz w:val="24"/>
              </w:rPr>
              <w:t>SRKT2024-08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9</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关于铜陵市加快构建新业态领域防风险工作协调机制的研究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10</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关于铜陵市先进光伏、新型储能发展及应用场景的对策研究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11</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关于推进铜陵长三角省际合作园区发展的对策研究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12</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关于铜陵市用好犁桥水镇等“流量密码”塑造城市新品牌新形象的研究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1"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13</w:t>
            </w:r>
          </w:p>
        </w:tc>
        <w:tc>
          <w:tcPr>
            <w:tcW w:w="6525" w:type="dxa"/>
            <w:noWrap w:val="0"/>
            <w:vAlign w:val="center"/>
          </w:tcPr>
          <w:p>
            <w:pPr>
              <w:spacing w:line="360" w:lineRule="exact"/>
              <w:rPr>
                <w:rFonts w:hint="eastAsia" w:ascii="仿宋_GB2312" w:hAnsi="仿宋" w:eastAsia="仿宋_GB2312"/>
                <w:spacing w:val="-4"/>
                <w:kern w:val="0"/>
                <w:sz w:val="24"/>
              </w:rPr>
            </w:pPr>
            <w:r>
              <w:rPr>
                <w:rFonts w:hint="eastAsia" w:ascii="仿宋_GB2312" w:hAnsi="仿宋" w:eastAsia="仿宋_GB2312"/>
                <w:kern w:val="0"/>
                <w:sz w:val="24"/>
              </w:rPr>
              <w:t>关于新发展阶段铜陵市“互联网+”基层治理的对策研究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14</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关于建立健全铜陵市生态产品价值实现机制的对策研究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15</w:t>
            </w:r>
          </w:p>
        </w:tc>
        <w:tc>
          <w:tcPr>
            <w:tcW w:w="6525" w:type="dxa"/>
            <w:noWrap w:val="0"/>
            <w:vAlign w:val="center"/>
          </w:tcPr>
          <w:p>
            <w:pPr>
              <w:spacing w:line="360" w:lineRule="exact"/>
              <w:rPr>
                <w:rFonts w:hint="eastAsia" w:ascii="仿宋_GB2312" w:hAnsi="仿宋" w:eastAsia="仿宋_GB2312"/>
                <w:kern w:val="0"/>
                <w:sz w:val="24"/>
              </w:rPr>
            </w:pPr>
            <w:r>
              <w:rPr>
                <w:rFonts w:hint="eastAsia" w:ascii="仿宋_GB2312" w:hAnsi="仿宋" w:eastAsia="仿宋_GB2312"/>
                <w:kern w:val="0"/>
                <w:sz w:val="24"/>
              </w:rPr>
              <w:t>关于巩固外贸外资基本盘增强铜陵市外贸外资主体活力和竞争力的对策研究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16</w:t>
            </w:r>
          </w:p>
        </w:tc>
        <w:tc>
          <w:tcPr>
            <w:tcW w:w="6525"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 w:eastAsia="仿宋_GB2312"/>
                <w:kern w:val="0"/>
                <w:sz w:val="24"/>
              </w:rPr>
              <w:t>关于推动铜陵市薄膜电容产业发展的对策研究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ascii="仿宋_GB2312" w:hAnsi="仿宋" w:eastAsia="仿宋_GB2312"/>
                <w:kern w:val="0"/>
                <w:sz w:val="24"/>
              </w:rPr>
            </w:pPr>
            <w:r>
              <w:rPr>
                <w:rFonts w:hint="eastAsia" w:ascii="仿宋_GB2312" w:hAnsi="仿宋" w:eastAsia="仿宋_GB2312"/>
                <w:kern w:val="0"/>
                <w:sz w:val="24"/>
              </w:rPr>
              <w:t>17</w:t>
            </w:r>
          </w:p>
        </w:tc>
        <w:tc>
          <w:tcPr>
            <w:tcW w:w="6525"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 w:eastAsia="仿宋_GB2312"/>
                <w:kern w:val="0"/>
                <w:sz w:val="24"/>
              </w:rPr>
              <w:t>关于推动铜陵市银发经济的对策研究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ascii="仿宋_GB2312" w:hAnsi="仿宋" w:eastAsia="仿宋_GB2312"/>
                <w:kern w:val="0"/>
                <w:sz w:val="24"/>
              </w:rPr>
            </w:pPr>
            <w:r>
              <w:rPr>
                <w:rFonts w:hint="eastAsia" w:ascii="仿宋_GB2312" w:hAnsi="仿宋" w:eastAsia="仿宋_GB2312"/>
                <w:kern w:val="0"/>
                <w:sz w:val="24"/>
              </w:rPr>
              <w:t>18</w:t>
            </w:r>
          </w:p>
        </w:tc>
        <w:tc>
          <w:tcPr>
            <w:tcW w:w="6525"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 w:eastAsia="仿宋_GB2312"/>
                <w:kern w:val="0"/>
                <w:sz w:val="24"/>
              </w:rPr>
              <w:t>关于推动铜陵市半导体产业发展情况的对策研究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ascii="仿宋_GB2312" w:hAnsi="仿宋" w:eastAsia="仿宋_GB2312"/>
                <w:kern w:val="0"/>
                <w:sz w:val="24"/>
              </w:rPr>
            </w:pPr>
            <w:r>
              <w:rPr>
                <w:rFonts w:hint="eastAsia" w:ascii="仿宋_GB2312" w:hAnsi="仿宋" w:eastAsia="仿宋_GB2312"/>
                <w:kern w:val="0"/>
                <w:sz w:val="24"/>
              </w:rPr>
              <w:t>19</w:t>
            </w:r>
          </w:p>
        </w:tc>
        <w:tc>
          <w:tcPr>
            <w:tcW w:w="6525"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 w:eastAsia="仿宋_GB2312"/>
                <w:kern w:val="0"/>
                <w:sz w:val="24"/>
              </w:rPr>
              <w:t>关于推动铜陵市装备制造产业发展情况的对策研究</w:t>
            </w:r>
          </w:p>
        </w:tc>
        <w:tc>
          <w:tcPr>
            <w:tcW w:w="1538" w:type="dxa"/>
            <w:noWrap w:val="0"/>
            <w:vAlign w:val="center"/>
          </w:tcPr>
          <w:p>
            <w:pPr>
              <w:spacing w:line="360" w:lineRule="exact"/>
              <w:jc w:val="center"/>
              <w:rPr>
                <w:rFonts w:hint="eastAsia" w:ascii="仿宋_GB2312" w:hAnsi="仿宋" w:eastAsia="仿宋_GB2312"/>
                <w:kern w:val="0"/>
                <w:sz w:val="24"/>
              </w:rPr>
            </w:pPr>
            <w:r>
              <w:rPr>
                <w:rFonts w:hint="eastAsia" w:ascii="仿宋_GB2312" w:hAnsi="仿宋" w:eastAsia="仿宋_GB2312"/>
                <w:kern w:val="0"/>
                <w:sz w:val="24"/>
              </w:rPr>
              <w:t>SRKT2024-19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ascii="仿宋_GB2312" w:hAnsi="仿宋" w:eastAsia="仿宋_GB2312"/>
                <w:kern w:val="0"/>
                <w:sz w:val="24"/>
              </w:rPr>
            </w:pPr>
            <w:r>
              <w:rPr>
                <w:rFonts w:hint="eastAsia" w:ascii="仿宋_GB2312" w:hAnsi="仿宋" w:eastAsia="仿宋_GB2312"/>
                <w:kern w:val="0"/>
                <w:sz w:val="24"/>
              </w:rPr>
              <w:t>20</w:t>
            </w:r>
          </w:p>
        </w:tc>
        <w:tc>
          <w:tcPr>
            <w:tcW w:w="6525"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 w:eastAsia="仿宋_GB2312"/>
                <w:kern w:val="0"/>
                <w:sz w:val="24"/>
              </w:rPr>
              <w:t>关于铜陵市降低社会综合融资成本保障企业资金需求的对策研究</w:t>
            </w:r>
          </w:p>
        </w:tc>
        <w:tc>
          <w:tcPr>
            <w:tcW w:w="1538" w:type="dxa"/>
            <w:noWrap w:val="0"/>
            <w:vAlign w:val="center"/>
          </w:tcPr>
          <w:p>
            <w:pPr>
              <w:spacing w:line="360" w:lineRule="exact"/>
              <w:jc w:val="center"/>
              <w:rPr>
                <w:rFonts w:ascii="仿宋_GB2312" w:hAnsi="仿宋" w:eastAsia="仿宋_GB2312"/>
                <w:kern w:val="0"/>
                <w:sz w:val="24"/>
              </w:rPr>
            </w:pPr>
            <w:r>
              <w:rPr>
                <w:rFonts w:hint="eastAsia" w:ascii="仿宋_GB2312" w:hAnsi="仿宋" w:eastAsia="仿宋_GB2312"/>
                <w:kern w:val="0"/>
                <w:sz w:val="24"/>
              </w:rPr>
              <w:t>SRKT2024-20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0" w:hRule="atLeast"/>
          <w:jc w:val="center"/>
        </w:trPr>
        <w:tc>
          <w:tcPr>
            <w:tcW w:w="751" w:type="dxa"/>
            <w:noWrap w:val="0"/>
            <w:vAlign w:val="center"/>
          </w:tcPr>
          <w:p>
            <w:pPr>
              <w:spacing w:line="360" w:lineRule="exact"/>
              <w:jc w:val="center"/>
              <w:rPr>
                <w:rFonts w:ascii="仿宋_GB2312" w:hAnsi="仿宋" w:eastAsia="仿宋_GB2312"/>
                <w:kern w:val="0"/>
                <w:sz w:val="24"/>
              </w:rPr>
            </w:pPr>
            <w:r>
              <w:rPr>
                <w:rFonts w:hint="eastAsia" w:ascii="仿宋_GB2312" w:hAnsi="仿宋" w:eastAsia="仿宋_GB2312"/>
                <w:kern w:val="0"/>
                <w:sz w:val="24"/>
              </w:rPr>
              <w:t>21</w:t>
            </w:r>
          </w:p>
        </w:tc>
        <w:tc>
          <w:tcPr>
            <w:tcW w:w="6525" w:type="dxa"/>
            <w:noWrap w:val="0"/>
            <w:vAlign w:val="center"/>
          </w:tcPr>
          <w:p>
            <w:pPr>
              <w:spacing w:line="360" w:lineRule="exact"/>
              <w:rPr>
                <w:rFonts w:hint="eastAsia" w:ascii="仿宋_GB2312" w:hAnsi="仿宋_GB2312" w:eastAsia="仿宋_GB2312" w:cs="仿宋_GB2312"/>
                <w:sz w:val="24"/>
              </w:rPr>
            </w:pPr>
            <w:r>
              <w:rPr>
                <w:rFonts w:hint="eastAsia" w:ascii="仿宋_GB2312" w:hAnsi="仿宋" w:eastAsia="仿宋_GB2312"/>
                <w:kern w:val="0"/>
                <w:sz w:val="24"/>
              </w:rPr>
              <w:t>关于铜陵市加强信访工作法治化对策研究</w:t>
            </w:r>
          </w:p>
        </w:tc>
        <w:tc>
          <w:tcPr>
            <w:tcW w:w="1538" w:type="dxa"/>
            <w:noWrap w:val="0"/>
            <w:vAlign w:val="center"/>
          </w:tcPr>
          <w:p>
            <w:pPr>
              <w:spacing w:line="360" w:lineRule="exact"/>
              <w:jc w:val="center"/>
              <w:rPr>
                <w:rFonts w:ascii="仿宋_GB2312" w:hAnsi="仿宋" w:eastAsia="仿宋_GB2312"/>
                <w:kern w:val="0"/>
                <w:sz w:val="24"/>
              </w:rPr>
            </w:pPr>
            <w:r>
              <w:rPr>
                <w:rFonts w:hint="eastAsia" w:ascii="仿宋_GB2312" w:hAnsi="仿宋" w:eastAsia="仿宋_GB2312"/>
                <w:kern w:val="0"/>
                <w:sz w:val="24"/>
              </w:rPr>
              <w:t>SRKT2024-21</w:t>
            </w:r>
          </w:p>
        </w:tc>
      </w:tr>
    </w:tbl>
    <w:p>
      <w:pPr>
        <w:keepNext w:val="0"/>
        <w:keepLines w:val="0"/>
        <w:pageBreakBefore w:val="0"/>
        <w:widowControl w:val="0"/>
        <w:kinsoku/>
        <w:wordWrap/>
        <w:overflowPunct/>
        <w:topLinePunct w:val="0"/>
        <w:autoSpaceDE/>
        <w:autoSpaceDN/>
        <w:bidi w:val="0"/>
        <w:adjustRightInd/>
        <w:snapToGrid/>
        <w:spacing w:line="14" w:lineRule="exact"/>
        <w:textAlignment w:val="auto"/>
        <w:rPr>
          <w:sz w:val="2"/>
          <w:szCs w:val="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jI4NjU1ODJjZTRhODU4MTQ5ZTRjMzkxY2U4OWIifQ=="/>
  </w:docVars>
  <w:rsids>
    <w:rsidRoot w:val="7D986AC3"/>
    <w:rsid w:val="7D986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2024-02-18T09:05:00Z</dcterms:created>
  <dc:creator>Administrator</dc:creator>
  <cp:lastModifiedBy>Administrator</cp:lastModifiedBy>
  <dcterms:modified xsi:type="dcterms:W3CDTF">2024-02-18T09:06:28Z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32AC66B483D24DFB844B9B65E4758F52_11</vt:lpwstr>
  </property>
</Properties>
</file>