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default" w:ascii="宋体" w:hAnsi="宋体" w:eastAsia="黑体" w:cs="黑体"/>
          <w:b w:val="0"/>
          <w:bCs w:val="0"/>
          <w:sz w:val="32"/>
          <w:szCs w:val="32"/>
          <w:highlight w:val="none"/>
          <w:lang w:val="en-US" w:eastAsia="zh-CN"/>
        </w:rPr>
      </w:pPr>
      <w:bookmarkStart w:id="0" w:name="_GoBack"/>
      <w:bookmarkEnd w:id="0"/>
      <w:r>
        <w:rPr>
          <w:rFonts w:hint="eastAsia" w:ascii="宋体" w:hAnsi="宋体" w:eastAsia="黑体" w:cs="黑体"/>
          <w:b w:val="0"/>
          <w:bCs w:val="0"/>
          <w:sz w:val="32"/>
          <w:szCs w:val="32"/>
          <w:highlight w:val="none"/>
          <w:lang w:val="en-US" w:eastAsia="zh-CN"/>
        </w:rPr>
        <w:t>附件</w:t>
      </w:r>
      <w:r>
        <w:rPr>
          <w:rFonts w:hint="eastAsia" w:ascii="黑体" w:hAnsi="黑体" w:eastAsia="黑体" w:cs="黑体"/>
          <w:b w:val="0"/>
          <w:bCs w:val="0"/>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afterLines="0" w:line="600" w:lineRule="exact"/>
        <w:ind w:firstLine="0" w:firstLineChars="0"/>
        <w:jc w:val="center"/>
        <w:textAlignment w:val="auto"/>
        <w:rPr>
          <w:rFonts w:hint="eastAsia" w:ascii="宋体" w:hAnsi="宋体" w:eastAsia="宋体" w:cs="宋体"/>
          <w:b/>
          <w:bCs/>
          <w:sz w:val="44"/>
          <w:szCs w:val="44"/>
          <w:highlight w:val="none"/>
          <w:lang w:val="en-US" w:eastAsia="zh-CN"/>
        </w:rPr>
      </w:pPr>
    </w:p>
    <w:p>
      <w:pPr>
        <w:pStyle w:val="2"/>
        <w:spacing w:after="0" w:line="60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方正小标宋简体" w:cs="方正小标宋简体"/>
          <w:b w:val="0"/>
          <w:bCs w:val="0"/>
          <w:sz w:val="44"/>
          <w:szCs w:val="44"/>
          <w:highlight w:val="none"/>
          <w:lang w:val="en-US" w:eastAsia="zh-CN"/>
        </w:rPr>
      </w:pPr>
      <w:r>
        <w:rPr>
          <w:rFonts w:hint="eastAsia" w:ascii="宋体" w:hAnsi="宋体" w:eastAsia="方正小标宋简体" w:cs="方正小标宋简体"/>
          <w:b w:val="0"/>
          <w:bCs w:val="0"/>
          <w:sz w:val="44"/>
          <w:szCs w:val="44"/>
          <w:highlight w:val="none"/>
          <w:lang w:val="en-US" w:eastAsia="zh-CN"/>
        </w:rPr>
        <w:t>人力资源社会保障部重大课题申报指南</w:t>
      </w:r>
    </w:p>
    <w:p>
      <w:pPr>
        <w:pStyle w:val="2"/>
        <w:keepNext w:val="0"/>
        <w:keepLines w:val="0"/>
        <w:pageBreakBefore w:val="0"/>
        <w:kinsoku/>
        <w:wordWrap/>
        <w:topLinePunct w:val="0"/>
        <w:bidi w:val="0"/>
        <w:spacing w:after="0" w:afterLines="0" w:line="600" w:lineRule="exact"/>
        <w:ind w:left="0" w:leftChars="0"/>
        <w:textAlignment w:val="auto"/>
        <w:rPr>
          <w:rFonts w:hint="eastAsia"/>
          <w:lang w:val="en-US" w:eastAsia="zh-CN"/>
        </w:rPr>
      </w:pPr>
    </w:p>
    <w:p>
      <w:pPr>
        <w:pStyle w:val="2"/>
        <w:keepNext w:val="0"/>
        <w:keepLines w:val="0"/>
        <w:pageBreakBefore w:val="0"/>
        <w:kinsoku/>
        <w:wordWrap/>
        <w:topLinePunct w:val="0"/>
        <w:bidi w:val="0"/>
        <w:spacing w:after="0" w:afterLines="0" w:line="600" w:lineRule="exact"/>
        <w:ind w:left="0" w:leftChars="0" w:firstLine="640" w:firstLineChars="200"/>
        <w:textAlignment w:val="auto"/>
        <w:rPr>
          <w:rFonts w:hint="eastAsia" w:ascii="宋体" w:hAnsi="宋体" w:eastAsia="黑体" w:cs="黑体"/>
          <w:sz w:val="32"/>
          <w:szCs w:val="32"/>
          <w:lang w:val="en-US" w:eastAsia="zh-CN"/>
        </w:rPr>
      </w:pPr>
      <w:r>
        <w:rPr>
          <w:rFonts w:hint="eastAsia" w:ascii="宋体" w:hAnsi="宋体" w:eastAsia="黑体" w:cs="黑体"/>
          <w:sz w:val="32"/>
          <w:szCs w:val="32"/>
          <w:highlight w:val="none"/>
          <w:lang w:val="en-US" w:eastAsia="zh-CN"/>
        </w:rPr>
        <w:t>一、总体思路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default" w:ascii="宋体" w:hAnsi="宋体" w:eastAsia="仿宋_GB2312" w:cs="仿宋_GB2312"/>
          <w:sz w:val="32"/>
          <w:szCs w:val="32"/>
          <w:highlight w:val="none"/>
          <w:lang w:val="en-US" w:eastAsia="zh-CN"/>
        </w:rPr>
        <w:t>以习近平新时代中国特色社会主义思想为指导，</w:t>
      </w:r>
      <w:r>
        <w:rPr>
          <w:rFonts w:hint="eastAsia" w:ascii="宋体" w:hAnsi="宋体" w:eastAsia="仿宋_GB2312" w:cs="仿宋_GB2312"/>
          <w:sz w:val="32"/>
          <w:szCs w:val="32"/>
          <w:highlight w:val="none"/>
          <w:lang w:val="en-US" w:eastAsia="zh-CN"/>
        </w:rPr>
        <w:t>深入学习贯彻落实党的二十大、二十届二中全会和中央经济工作会议精神，全面贯彻落实党中央、国务院关于经济社会发展的重大决策部署，特别是关于人力资源社会保障工作的新部署新要求，</w:t>
      </w:r>
      <w:r>
        <w:rPr>
          <w:rFonts w:hint="eastAsia" w:ascii="宋体" w:hAnsi="宋体" w:eastAsia="仿宋_GB2312" w:cs="仿宋_GB2312"/>
          <w:sz w:val="32"/>
          <w:szCs w:val="32"/>
          <w:lang w:val="en-US" w:eastAsia="zh-CN"/>
        </w:rPr>
        <w:t>重点</w:t>
      </w:r>
      <w:r>
        <w:rPr>
          <w:rFonts w:hint="eastAsia" w:ascii="宋体" w:hAnsi="宋体" w:eastAsia="仿宋_GB2312" w:cs="仿宋_GB2312"/>
          <w:sz w:val="32"/>
          <w:szCs w:val="32"/>
          <w:highlight w:val="none"/>
          <w:lang w:val="en-US" w:eastAsia="zh-CN"/>
        </w:rPr>
        <w:t>聚焦破解人力资源社会保障领域全局性、战略性、前瞻性、基础性重大问题以及人民群众最关心、最直接、最现实的利益问题，坚持问题导向和目标导向相结合、系统观念和底线思维相统一，创新思路、方法和举措，形成兼具理论性与实践性、针对性、可操作性的研究成果，为推动人力资源社会保障事业高质量发展提供智力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黑体" w:cs="黑体"/>
          <w:kern w:val="2"/>
          <w:sz w:val="32"/>
          <w:szCs w:val="32"/>
          <w:lang w:val="en-US" w:eastAsia="zh-CN" w:bidi="ar-SA"/>
        </w:rPr>
      </w:pPr>
      <w:r>
        <w:rPr>
          <w:rFonts w:hint="eastAsia" w:ascii="宋体" w:hAnsi="宋体" w:eastAsia="黑体" w:cs="黑体"/>
          <w:kern w:val="2"/>
          <w:sz w:val="32"/>
          <w:szCs w:val="32"/>
          <w:lang w:val="en-US" w:eastAsia="zh-CN" w:bidi="ar-SA"/>
        </w:rPr>
        <w:t>二、选题范围</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国内外推进就业优先政策研究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主要研究内容：梳理收集近年来国外主要经济体宏观政策与就业协同、就业影响评估、稳定扩大就业等方面的政策和服务举措，研究如何借鉴国外先进经验，更加突出我国就业优先目标导向，推动构建并细化落实我国就业优先政策体系，提出对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（二）高质量就业服务体系研究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主要研究内容：</w:t>
      </w:r>
      <w:r>
        <w:rPr>
          <w:rFonts w:hint="eastAsia" w:ascii="宋体" w:hAnsi="宋体" w:eastAsia="仿宋_GB2312" w:cs="Times New Roman"/>
          <w:i w:val="0"/>
          <w:caps w:val="0"/>
          <w:color w:val="000000"/>
          <w:spacing w:val="0"/>
          <w:sz w:val="32"/>
          <w:szCs w:val="32"/>
          <w:shd w:val="clear" w:color="auto" w:fill="FFFFFF"/>
          <w:lang w:val="en-US" w:eastAsia="zh-CN"/>
        </w:rPr>
        <w:t>总结提炼</w:t>
      </w:r>
      <w:r>
        <w:rPr>
          <w:rFonts w:hint="default" w:ascii="宋体" w:hAnsi="宋体" w:eastAsia="仿宋_GB2312" w:cs="Times New Roman"/>
          <w:i w:val="0"/>
          <w:caps w:val="0"/>
          <w:color w:val="000000"/>
          <w:spacing w:val="0"/>
          <w:sz w:val="32"/>
          <w:szCs w:val="32"/>
          <w:shd w:val="clear" w:color="auto" w:fill="FFFFFF"/>
          <w:lang w:val="en-US" w:eastAsia="zh-CN"/>
        </w:rPr>
        <w:t>我国公共就业服务发展成效和典型做法</w:t>
      </w:r>
      <w:r>
        <w:rPr>
          <w:rFonts w:hint="eastAsia" w:ascii="宋体" w:hAnsi="宋体" w:eastAsia="仿宋_GB2312" w:cs="Times New Roman"/>
          <w:i w:val="0"/>
          <w:caps w:val="0"/>
          <w:color w:val="000000"/>
          <w:spacing w:val="0"/>
          <w:sz w:val="32"/>
          <w:szCs w:val="32"/>
          <w:shd w:val="clear" w:color="auto" w:fill="FFFFFF"/>
          <w:lang w:val="en-US" w:eastAsia="zh-CN"/>
        </w:rPr>
        <w:t>、</w:t>
      </w:r>
      <w:r>
        <w:rPr>
          <w:rFonts w:hint="default" w:ascii="宋体" w:hAnsi="宋体" w:eastAsia="仿宋_GB2312" w:cs="Times New Roman"/>
          <w:i w:val="0"/>
          <w:caps w:val="0"/>
          <w:color w:val="000000"/>
          <w:spacing w:val="0"/>
          <w:sz w:val="32"/>
          <w:szCs w:val="32"/>
          <w:shd w:val="clear" w:color="auto" w:fill="FFFFFF"/>
          <w:lang w:val="en-US" w:eastAsia="zh-CN"/>
        </w:rPr>
        <w:t>当前国际上就业服务最新理念和技术以及主要经济体公共就业服务的主要做法</w:t>
      </w:r>
      <w:r>
        <w:rPr>
          <w:rFonts w:hint="eastAsia" w:ascii="宋体" w:hAnsi="宋体" w:eastAsia="仿宋_GB2312" w:cs="Times New Roman"/>
          <w:i w:val="0"/>
          <w:caps w:val="0"/>
          <w:color w:val="000000"/>
          <w:spacing w:val="0"/>
          <w:sz w:val="32"/>
          <w:szCs w:val="32"/>
          <w:shd w:val="clear" w:color="auto" w:fill="FFFFFF"/>
          <w:lang w:val="en-US" w:eastAsia="zh-CN"/>
        </w:rPr>
        <w:t>，</w:t>
      </w:r>
      <w:r>
        <w:rPr>
          <w:rFonts w:hint="default" w:ascii="宋体" w:hAnsi="宋体" w:eastAsia="仿宋_GB2312" w:cs="Times New Roman"/>
          <w:i w:val="0"/>
          <w:caps w:val="0"/>
          <w:color w:val="000000"/>
          <w:spacing w:val="0"/>
          <w:sz w:val="32"/>
          <w:szCs w:val="32"/>
          <w:shd w:val="clear" w:color="auto" w:fill="FFFFFF"/>
          <w:lang w:val="en-US" w:eastAsia="zh-CN"/>
        </w:rPr>
        <w:t>对照国际经验和我国经济社会发展需要，</w:t>
      </w:r>
      <w:r>
        <w:rPr>
          <w:rFonts w:hint="eastAsia" w:ascii="宋体" w:hAnsi="宋体" w:eastAsia="仿宋_GB2312" w:cs="Times New Roman"/>
          <w:i w:val="0"/>
          <w:caps w:val="0"/>
          <w:color w:val="000000"/>
          <w:spacing w:val="0"/>
          <w:sz w:val="32"/>
          <w:szCs w:val="32"/>
          <w:shd w:val="clear" w:color="auto" w:fill="FFFFFF"/>
          <w:lang w:val="en-US" w:eastAsia="zh-CN"/>
        </w:rPr>
        <w:t>分析</w:t>
      </w:r>
      <w:r>
        <w:rPr>
          <w:rFonts w:hint="default" w:ascii="宋体" w:hAnsi="宋体" w:eastAsia="仿宋_GB2312" w:cs="Times New Roman"/>
          <w:i w:val="0"/>
          <w:caps w:val="0"/>
          <w:color w:val="000000"/>
          <w:spacing w:val="0"/>
          <w:sz w:val="32"/>
          <w:szCs w:val="32"/>
          <w:shd w:val="clear" w:color="auto" w:fill="FFFFFF"/>
          <w:lang w:val="en-US" w:eastAsia="zh-CN"/>
        </w:rPr>
        <w:t>我国公共就业服务存在的短板弱项以及困难挑战</w:t>
      </w:r>
      <w:r>
        <w:rPr>
          <w:rFonts w:hint="eastAsia" w:ascii="宋体" w:hAnsi="宋体" w:eastAsia="仿宋_GB2312" w:cs="Times New Roman"/>
          <w:i w:val="0"/>
          <w:caps w:val="0"/>
          <w:color w:val="000000"/>
          <w:spacing w:val="0"/>
          <w:sz w:val="32"/>
          <w:szCs w:val="32"/>
          <w:shd w:val="clear" w:color="auto" w:fill="FFFFFF"/>
          <w:lang w:val="en-US" w:eastAsia="zh-CN"/>
        </w:rPr>
        <w:t>，提出</w:t>
      </w:r>
      <w:r>
        <w:rPr>
          <w:rFonts w:hint="default" w:ascii="宋体" w:hAnsi="宋体" w:eastAsia="仿宋_GB2312" w:cs="Times New Roman"/>
          <w:i w:val="0"/>
          <w:caps w:val="0"/>
          <w:color w:val="000000"/>
          <w:spacing w:val="0"/>
          <w:sz w:val="32"/>
          <w:szCs w:val="32"/>
          <w:shd w:val="clear" w:color="auto" w:fill="FFFFFF"/>
          <w:lang w:val="en-US" w:eastAsia="zh-CN"/>
        </w:rPr>
        <w:t>对建立健全高质量就业服务体系的总体考虑和具体举措。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（三）面向“十五五”的人力资源服务业高质量发展研究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宋体" w:hAnsi="宋体" w:eastAsia="仿宋_GB2312" w:cs="Times New Roman"/>
          <w:b w:val="0"/>
          <w:bCs w:val="0"/>
          <w:sz w:val="32"/>
          <w:szCs w:val="40"/>
          <w:lang w:eastAsia="zh-CN"/>
        </w:rPr>
      </w:pPr>
      <w:r>
        <w:rPr>
          <w:rFonts w:hint="eastAsia" w:ascii="宋体" w:hAnsi="宋体" w:eastAsia="仿宋_GB2312" w:cs="仿宋_GB2312"/>
          <w:sz w:val="32"/>
          <w:szCs w:val="32"/>
          <w:highlight w:val="none"/>
          <w:lang w:val="en-US" w:eastAsia="zh-CN"/>
        </w:rPr>
        <w:t>主要研究内容：</w:t>
      </w:r>
      <w:r>
        <w:rPr>
          <w:rFonts w:hint="default" w:ascii="宋体" w:hAnsi="宋体" w:eastAsia="仿宋_GB2312" w:cs="Times New Roman"/>
          <w:b w:val="0"/>
          <w:bCs w:val="0"/>
          <w:sz w:val="32"/>
          <w:szCs w:val="40"/>
          <w:lang w:val="en-US" w:eastAsia="zh-CN"/>
        </w:rPr>
        <w:t>梳理总结</w:t>
      </w:r>
      <w:r>
        <w:rPr>
          <w:rFonts w:hint="default" w:ascii="宋体" w:hAnsi="宋体" w:eastAsia="仿宋_GB2312" w:cs="Times New Roman"/>
          <w:b w:val="0"/>
          <w:bCs w:val="0"/>
          <w:sz w:val="32"/>
          <w:szCs w:val="40"/>
          <w:lang w:eastAsia="zh-CN"/>
        </w:rPr>
        <w:t>“十四五”时期</w:t>
      </w:r>
      <w:r>
        <w:rPr>
          <w:rFonts w:hint="default" w:ascii="宋体" w:hAnsi="宋体" w:eastAsia="仿宋_GB2312" w:cs="Times New Roman"/>
          <w:b w:val="0"/>
          <w:bCs w:val="0"/>
          <w:sz w:val="32"/>
          <w:szCs w:val="40"/>
          <w:lang w:val="en-US" w:eastAsia="zh-CN"/>
        </w:rPr>
        <w:t>人力资源服务业</w:t>
      </w:r>
      <w:r>
        <w:rPr>
          <w:rFonts w:hint="default" w:ascii="宋体" w:hAnsi="宋体" w:eastAsia="仿宋_GB2312" w:cs="Times New Roman"/>
          <w:b w:val="0"/>
          <w:bCs w:val="0"/>
          <w:sz w:val="32"/>
          <w:szCs w:val="40"/>
          <w:lang w:eastAsia="zh-CN"/>
        </w:rPr>
        <w:t>发展</w:t>
      </w:r>
      <w:r>
        <w:rPr>
          <w:rFonts w:hint="default" w:ascii="宋体" w:hAnsi="宋体" w:eastAsia="仿宋_GB2312" w:cs="Times New Roman"/>
          <w:b w:val="0"/>
          <w:bCs w:val="0"/>
          <w:sz w:val="32"/>
          <w:szCs w:val="40"/>
          <w:lang w:val="en-US" w:eastAsia="zh-CN"/>
        </w:rPr>
        <w:t>状况，</w:t>
      </w:r>
      <w:r>
        <w:rPr>
          <w:rFonts w:hint="default" w:ascii="宋体" w:hAnsi="宋体" w:eastAsia="仿宋_GB2312" w:cs="Times New Roman"/>
          <w:b w:val="0"/>
          <w:bCs w:val="0"/>
          <w:sz w:val="32"/>
          <w:szCs w:val="40"/>
          <w:lang w:eastAsia="zh-CN"/>
        </w:rPr>
        <w:t>分析研判“十五五”时期行业发展趋势和形势任务要求，提出推动人力资源服务业高质量发展、助力中国式现代化建设的对策建议。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（四）灵活就业人员社会保险问题研究</w:t>
      </w:r>
    </w:p>
    <w:p>
      <w:pPr>
        <w:keepNext w:val="0"/>
        <w:keepLines w:val="0"/>
        <w:widowControl w:val="0"/>
        <w:suppressLineNumbers w:val="0"/>
        <w:spacing w:line="600" w:lineRule="exact"/>
        <w:ind w:firstLine="640" w:firstLineChars="200"/>
        <w:jc w:val="left"/>
        <w:rPr>
          <w:rFonts w:hint="eastAsia" w:ascii="宋体" w:hAnsi="宋体" w:eastAsia="仿宋_GB2312" w:cs="仿宋_GB2312"/>
          <w:sz w:val="32"/>
          <w:szCs w:val="32"/>
          <w:highlight w:val="none"/>
        </w:rPr>
      </w:pPr>
      <w:r>
        <w:rPr>
          <w:rFonts w:hint="eastAsia" w:ascii="宋体" w:hAnsi="宋体" w:eastAsia="仿宋_GB2312" w:cs="仿宋_GB2312"/>
          <w:sz w:val="32"/>
          <w:szCs w:val="32"/>
          <w:highlight w:val="none"/>
          <w:lang w:val="en-US" w:eastAsia="zh-CN"/>
        </w:rPr>
        <w:t>主要研究内容：</w:t>
      </w:r>
      <w:r>
        <w:rPr>
          <w:rFonts w:hint="eastAsia" w:ascii="宋体" w:hAnsi="宋体" w:eastAsia="仿宋_GB2312" w:cs="仿宋_GB2312"/>
          <w:kern w:val="2"/>
          <w:sz w:val="32"/>
          <w:szCs w:val="32"/>
          <w:highlight w:val="none"/>
          <w:lang w:val="en-US" w:eastAsia="zh-CN" w:bidi="ar"/>
        </w:rPr>
        <w:t>梳理灵活就业人员参加养老保险存在的问题和难点，针对各类灵活就业人员特点，统筹保障劳动者权益和制度可持续性，研究提出促进各类灵活就业人员参加养老保险的措施。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（五）完善养老保险全国统筹制度研究</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ascii="宋体" w:hAnsi="宋体"/>
        </w:rPr>
      </w:pPr>
      <w:r>
        <w:rPr>
          <w:rFonts w:hint="eastAsia" w:ascii="宋体" w:hAnsi="宋体" w:eastAsia="仿宋_GB2312" w:cs="仿宋_GB2312"/>
          <w:sz w:val="32"/>
          <w:szCs w:val="32"/>
          <w:highlight w:val="none"/>
          <w:lang w:val="en-US" w:eastAsia="zh-CN"/>
        </w:rPr>
        <w:t>主要研究内容：</w:t>
      </w:r>
      <w:r>
        <w:rPr>
          <w:rFonts w:hint="default" w:ascii="宋体" w:hAnsi="宋体" w:eastAsia="仿宋_GB2312" w:cs="Times New Roman"/>
          <w:sz w:val="32"/>
          <w:szCs w:val="32"/>
          <w:lang w:val="en-US" w:eastAsia="zh-CN"/>
        </w:rPr>
        <w:t>从政策规范、基金管理使用、地方政府责任、信息系统和经办等多个方面，全面梳理</w:t>
      </w:r>
      <w:r>
        <w:rPr>
          <w:rFonts w:hint="eastAsia" w:ascii="宋体" w:hAnsi="宋体" w:eastAsia="仿宋_GB2312" w:cs="Times New Roman"/>
          <w:sz w:val="32"/>
          <w:szCs w:val="32"/>
          <w:lang w:val="en-US" w:eastAsia="zh-CN"/>
        </w:rPr>
        <w:t>养老保险全国统筹</w:t>
      </w:r>
      <w:r>
        <w:rPr>
          <w:rFonts w:hint="default" w:ascii="宋体" w:hAnsi="宋体" w:eastAsia="仿宋_GB2312" w:cs="Times New Roman"/>
          <w:sz w:val="32"/>
          <w:szCs w:val="32"/>
          <w:lang w:val="en-US" w:eastAsia="zh-CN"/>
        </w:rPr>
        <w:t>目前的工作进展和存在的问题</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t>对加强管理、进一步明确中央和地方责任等提出完善意见</w:t>
      </w:r>
      <w:r>
        <w:rPr>
          <w:rFonts w:hint="eastAsia" w:ascii="宋体" w:hAnsi="宋体" w:eastAsia="仿宋_GB2312" w:cs="Times New Roman"/>
          <w:sz w:val="32"/>
          <w:szCs w:val="32"/>
          <w:lang w:val="en-US" w:eastAsia="zh-CN"/>
        </w:rPr>
        <w:t>，</w:t>
      </w:r>
      <w:r>
        <w:rPr>
          <w:rFonts w:hint="default" w:ascii="宋体" w:hAnsi="宋体" w:eastAsia="仿宋_GB2312" w:cs="Times New Roman"/>
          <w:sz w:val="32"/>
          <w:szCs w:val="32"/>
          <w:lang w:val="en-US" w:eastAsia="zh-CN"/>
        </w:rPr>
        <w:t>在稳妥实施全国统筹制度，稳步推进规范政策，确保全国统筹调剂资金调拨顺畅，确保退休人员养老金按时足额发放的基础上，进一步强化全国统筹制度的激励约束机制，充分调动中央和地方两个积极性。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（六）健全城乡居民基本养老保险筹资和待遇调整机制研究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宋体" w:hAnsi="宋体" w:eastAsia="仿宋_GB2312" w:cs="仿宋_GB2312"/>
          <w:sz w:val="32"/>
          <w:szCs w:val="32"/>
        </w:rPr>
      </w:pPr>
      <w:r>
        <w:rPr>
          <w:rFonts w:hint="eastAsia" w:ascii="宋体" w:hAnsi="宋体" w:eastAsia="仿宋_GB2312" w:cs="仿宋_GB2312"/>
          <w:sz w:val="32"/>
          <w:szCs w:val="32"/>
          <w:highlight w:val="none"/>
          <w:lang w:val="en-US" w:eastAsia="zh-CN"/>
        </w:rPr>
        <w:t>主要研究内容：</w:t>
      </w:r>
      <w:r>
        <w:rPr>
          <w:rFonts w:hint="eastAsia" w:ascii="宋体" w:hAnsi="宋体" w:eastAsia="仿宋_GB2312" w:cs="仿宋_GB2312"/>
          <w:sz w:val="32"/>
          <w:szCs w:val="32"/>
          <w:lang w:eastAsia="zh-CN"/>
        </w:rPr>
        <w:t>研究</w:t>
      </w:r>
      <w:r>
        <w:rPr>
          <w:rFonts w:hint="default" w:ascii="宋体" w:hAnsi="宋体" w:eastAsia="仿宋_GB2312" w:cs="仿宋_GB2312"/>
          <w:sz w:val="32"/>
          <w:szCs w:val="32"/>
        </w:rPr>
        <w:t>具有代表性的国家关于农民（或低收入群体）的基本养老保险制度情况，主要包括覆盖范围、筹资模式与水平、待遇水平及面临的挑战等</w:t>
      </w:r>
      <w:r>
        <w:rPr>
          <w:rFonts w:hint="eastAsia" w:ascii="宋体" w:hAnsi="宋体" w:eastAsia="仿宋_GB2312" w:cs="仿宋_GB2312"/>
          <w:sz w:val="32"/>
          <w:szCs w:val="32"/>
          <w:lang w:eastAsia="zh-CN"/>
        </w:rPr>
        <w:t>，</w:t>
      </w:r>
      <w:r>
        <w:rPr>
          <w:rFonts w:hint="default" w:ascii="宋体" w:hAnsi="宋体" w:eastAsia="仿宋_GB2312" w:cs="仿宋_GB2312"/>
          <w:sz w:val="32"/>
          <w:szCs w:val="32"/>
        </w:rPr>
        <w:t>总结城乡居民</w:t>
      </w:r>
      <w:r>
        <w:rPr>
          <w:rFonts w:hint="eastAsia" w:ascii="宋体" w:hAnsi="宋体" w:eastAsia="仿宋_GB2312" w:cs="仿宋_GB2312"/>
          <w:sz w:val="32"/>
          <w:szCs w:val="32"/>
          <w:lang w:eastAsia="zh-CN"/>
        </w:rPr>
        <w:t>基本</w:t>
      </w:r>
      <w:r>
        <w:rPr>
          <w:rFonts w:hint="default" w:ascii="宋体" w:hAnsi="宋体" w:eastAsia="仿宋_GB2312" w:cs="仿宋_GB2312"/>
          <w:sz w:val="32"/>
          <w:szCs w:val="32"/>
        </w:rPr>
        <w:t>养老保险筹资和待遇调整取得的成效，分析存在的主要问题</w:t>
      </w:r>
      <w:r>
        <w:rPr>
          <w:rFonts w:hint="eastAsia" w:ascii="宋体" w:hAnsi="宋体" w:eastAsia="仿宋_GB2312" w:cs="仿宋_GB2312"/>
          <w:sz w:val="32"/>
          <w:szCs w:val="32"/>
          <w:lang w:eastAsia="zh-CN"/>
        </w:rPr>
        <w:t>，</w:t>
      </w:r>
      <w:r>
        <w:rPr>
          <w:rFonts w:hint="default" w:ascii="宋体" w:hAnsi="宋体" w:eastAsia="仿宋_GB2312" w:cs="仿宋_GB2312"/>
          <w:sz w:val="32"/>
          <w:szCs w:val="32"/>
        </w:rPr>
        <w:t>论证健全筹资和待遇调整机制的具体路径</w:t>
      </w:r>
      <w:r>
        <w:rPr>
          <w:rFonts w:hint="eastAsia" w:ascii="宋体" w:hAnsi="宋体" w:eastAsia="仿宋_GB2312" w:cs="仿宋_GB2312"/>
          <w:sz w:val="32"/>
          <w:szCs w:val="32"/>
          <w:lang w:eastAsia="zh-CN"/>
        </w:rPr>
        <w:t>，</w:t>
      </w:r>
      <w:r>
        <w:rPr>
          <w:rFonts w:hint="default" w:ascii="宋体" w:hAnsi="宋体" w:eastAsia="仿宋_GB2312" w:cs="仿宋_GB2312"/>
          <w:sz w:val="32"/>
          <w:szCs w:val="32"/>
        </w:rPr>
        <w:t>提出健全城乡居民</w:t>
      </w:r>
      <w:r>
        <w:rPr>
          <w:rFonts w:hint="eastAsia" w:ascii="宋体" w:hAnsi="宋体" w:eastAsia="仿宋_GB2312" w:cs="仿宋_GB2312"/>
          <w:sz w:val="32"/>
          <w:szCs w:val="32"/>
          <w:lang w:eastAsia="zh-CN"/>
        </w:rPr>
        <w:t>基本</w:t>
      </w:r>
      <w:r>
        <w:rPr>
          <w:rFonts w:hint="default" w:ascii="宋体" w:hAnsi="宋体" w:eastAsia="仿宋_GB2312" w:cs="仿宋_GB2312"/>
          <w:sz w:val="32"/>
          <w:szCs w:val="32"/>
        </w:rPr>
        <w:t>养老保险筹资和待遇调整机制的政策建议。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（七）打造技能生态，促进人才链与产业链融合发展路径研究</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600" w:lineRule="exact"/>
        <w:ind w:left="0" w:leftChars="0" w:firstLine="640" w:firstLineChars="200"/>
        <w:jc w:val="both"/>
        <w:textAlignment w:val="auto"/>
        <w:rPr>
          <w:rFonts w:hint="default" w:ascii="宋体" w:hAnsi="宋体" w:eastAsia="仿宋_GB2312" w:cs="Times New Roman"/>
          <w:b w:val="0"/>
          <w:bCs w:val="0"/>
          <w:sz w:val="32"/>
          <w:szCs w:val="32"/>
          <w:highlight w:val="none"/>
          <w:lang w:val="en-US" w:eastAsia="zh-CN"/>
        </w:rPr>
      </w:pPr>
      <w:r>
        <w:rPr>
          <w:rFonts w:hint="eastAsia" w:ascii="宋体" w:hAnsi="宋体" w:eastAsia="仿宋_GB2312" w:cs="仿宋_GB2312"/>
          <w:sz w:val="32"/>
          <w:szCs w:val="32"/>
          <w:highlight w:val="none"/>
          <w:lang w:val="en-US" w:eastAsia="zh-CN"/>
        </w:rPr>
        <w:t>主要研究内容：</w:t>
      </w:r>
      <w:r>
        <w:rPr>
          <w:rFonts w:hint="default" w:ascii="宋体" w:hAnsi="宋体" w:eastAsia="仿宋_GB2312" w:cs="Times New Roman"/>
          <w:b w:val="0"/>
          <w:bCs w:val="0"/>
          <w:kern w:val="2"/>
          <w:sz w:val="32"/>
          <w:szCs w:val="24"/>
          <w:highlight w:val="none"/>
          <w:lang w:val="en-US" w:eastAsia="zh-CN" w:bidi="ar-SA"/>
        </w:rPr>
        <w:t>梳理汇总各地推动企业职工技能提升、产</w:t>
      </w:r>
      <w:r>
        <w:rPr>
          <w:rFonts w:hint="default" w:ascii="宋体" w:hAnsi="宋体" w:eastAsia="仿宋_GB2312" w:cs="Times New Roman"/>
          <w:b w:val="0"/>
          <w:bCs w:val="0"/>
          <w:kern w:val="2"/>
          <w:sz w:val="32"/>
          <w:szCs w:val="24"/>
          <w:highlight w:val="none"/>
          <w:lang w:eastAsia="zh-CN" w:bidi="ar-SA"/>
        </w:rPr>
        <w:t>教（</w:t>
      </w:r>
      <w:r>
        <w:rPr>
          <w:rFonts w:hint="default" w:ascii="宋体" w:hAnsi="宋体" w:eastAsia="仿宋_GB2312" w:cs="Times New Roman"/>
          <w:b w:val="0"/>
          <w:bCs w:val="0"/>
          <w:kern w:val="2"/>
          <w:sz w:val="32"/>
          <w:szCs w:val="24"/>
          <w:highlight w:val="none"/>
          <w:lang w:val="en-US" w:eastAsia="zh-CN" w:bidi="ar-SA"/>
        </w:rPr>
        <w:t>训</w:t>
      </w:r>
      <w:r>
        <w:rPr>
          <w:rFonts w:hint="default" w:ascii="宋体" w:hAnsi="宋体" w:eastAsia="仿宋_GB2312" w:cs="Times New Roman"/>
          <w:b w:val="0"/>
          <w:bCs w:val="0"/>
          <w:kern w:val="2"/>
          <w:sz w:val="32"/>
          <w:szCs w:val="24"/>
          <w:highlight w:val="none"/>
          <w:lang w:eastAsia="zh-CN" w:bidi="ar-SA"/>
        </w:rPr>
        <w:t>）评</w:t>
      </w:r>
      <w:r>
        <w:rPr>
          <w:rFonts w:hint="default" w:ascii="宋体" w:hAnsi="宋体" w:eastAsia="仿宋_GB2312" w:cs="Times New Roman"/>
          <w:b w:val="0"/>
          <w:bCs w:val="0"/>
          <w:kern w:val="2"/>
          <w:sz w:val="32"/>
          <w:szCs w:val="24"/>
          <w:highlight w:val="none"/>
          <w:lang w:val="en-US" w:eastAsia="zh-CN" w:bidi="ar-SA"/>
        </w:rPr>
        <w:t>结合现行政策举措，</w:t>
      </w:r>
      <w:r>
        <w:rPr>
          <w:rFonts w:hint="eastAsia" w:ascii="宋体" w:hAnsi="宋体" w:eastAsia="仿宋_GB2312" w:cs="Times New Roman"/>
          <w:b w:val="0"/>
          <w:bCs w:val="0"/>
          <w:kern w:val="2"/>
          <w:sz w:val="32"/>
          <w:szCs w:val="24"/>
          <w:highlight w:val="none"/>
          <w:lang w:val="en-US" w:eastAsia="zh-CN" w:bidi="ar-SA"/>
        </w:rPr>
        <w:t>调研</w:t>
      </w:r>
      <w:r>
        <w:rPr>
          <w:rFonts w:hint="default" w:ascii="宋体" w:hAnsi="宋体" w:eastAsia="仿宋_GB2312" w:cs="Times New Roman"/>
          <w:b w:val="0"/>
          <w:bCs w:val="0"/>
          <w:kern w:val="2"/>
          <w:sz w:val="32"/>
          <w:szCs w:val="24"/>
          <w:highlight w:val="none"/>
          <w:lang w:val="en-US" w:eastAsia="zh-CN" w:bidi="ar-SA"/>
        </w:rPr>
        <w:t>了解培训机构、行业企业和职工技能提升需求</w:t>
      </w:r>
      <w:r>
        <w:rPr>
          <w:rFonts w:hint="eastAsia" w:ascii="宋体" w:hAnsi="宋体" w:eastAsia="仿宋_GB2312" w:cs="Times New Roman"/>
          <w:b w:val="0"/>
          <w:bCs w:val="0"/>
          <w:kern w:val="2"/>
          <w:sz w:val="32"/>
          <w:szCs w:val="24"/>
          <w:highlight w:val="none"/>
          <w:lang w:val="en-US" w:eastAsia="zh-CN" w:bidi="ar-SA"/>
        </w:rPr>
        <w:t>，</w:t>
      </w:r>
      <w:r>
        <w:rPr>
          <w:rFonts w:hint="default" w:ascii="宋体" w:hAnsi="宋体" w:eastAsia="仿宋_GB2312" w:cs="Times New Roman"/>
          <w:b w:val="0"/>
          <w:bCs w:val="0"/>
          <w:kern w:val="2"/>
          <w:sz w:val="32"/>
          <w:szCs w:val="24"/>
          <w:highlight w:val="none"/>
          <w:lang w:val="en-US" w:eastAsia="zh-CN" w:bidi="ar-SA"/>
        </w:rPr>
        <w:t>分析归纳各地实施情况及存在难点和问题，借鉴国内外推动产业和培训</w:t>
      </w:r>
      <w:r>
        <w:rPr>
          <w:rFonts w:hint="default" w:ascii="宋体" w:hAnsi="宋体" w:eastAsia="仿宋_GB2312" w:cs="Times New Roman"/>
          <w:b w:val="0"/>
          <w:bCs w:val="0"/>
          <w:kern w:val="2"/>
          <w:sz w:val="32"/>
          <w:szCs w:val="24"/>
          <w:highlight w:val="none"/>
          <w:lang w:eastAsia="zh-CN" w:bidi="ar-SA"/>
        </w:rPr>
        <w:t>、评价</w:t>
      </w:r>
      <w:r>
        <w:rPr>
          <w:rFonts w:hint="default" w:ascii="宋体" w:hAnsi="宋体" w:eastAsia="仿宋_GB2312" w:cs="Times New Roman"/>
          <w:b w:val="0"/>
          <w:bCs w:val="0"/>
          <w:kern w:val="2"/>
          <w:sz w:val="32"/>
          <w:szCs w:val="24"/>
          <w:highlight w:val="none"/>
          <w:lang w:val="en-US" w:eastAsia="zh-CN" w:bidi="ar-SA"/>
        </w:rPr>
        <w:t>联动的经验做法，</w:t>
      </w:r>
      <w:r>
        <w:rPr>
          <w:rFonts w:hint="default" w:ascii="宋体" w:hAnsi="宋体" w:eastAsia="仿宋_GB2312" w:cs="Times New Roman"/>
          <w:b w:val="0"/>
          <w:bCs w:val="0"/>
          <w:kern w:val="2"/>
          <w:sz w:val="32"/>
          <w:szCs w:val="24"/>
          <w:highlight w:val="none"/>
          <w:lang w:eastAsia="zh-CN" w:bidi="ar-SA"/>
        </w:rPr>
        <w:t>梳理经验模式</w:t>
      </w:r>
      <w:r>
        <w:rPr>
          <w:rFonts w:hint="eastAsia" w:ascii="宋体" w:hAnsi="宋体" w:eastAsia="仿宋_GB2312" w:cs="Times New Roman"/>
          <w:b w:val="0"/>
          <w:bCs w:val="0"/>
          <w:kern w:val="2"/>
          <w:sz w:val="32"/>
          <w:szCs w:val="24"/>
          <w:highlight w:val="none"/>
          <w:lang w:eastAsia="zh-CN" w:bidi="ar-SA"/>
        </w:rPr>
        <w:t>，</w:t>
      </w:r>
      <w:r>
        <w:rPr>
          <w:rFonts w:hint="default" w:ascii="宋体" w:hAnsi="宋体" w:eastAsia="仿宋_GB2312" w:cs="Times New Roman"/>
          <w:b w:val="0"/>
          <w:bCs w:val="0"/>
          <w:kern w:val="2"/>
          <w:sz w:val="32"/>
          <w:szCs w:val="24"/>
          <w:highlight w:val="none"/>
          <w:lang w:val="en-US" w:eastAsia="zh-CN" w:bidi="ar-SA"/>
        </w:rPr>
        <w:t>构建产训结合评价指标体系，研究发挥企业主体作用开展职工技能提升实施路径并提出政策建议。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（八）推动企业加强技能人才工作研究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主要研究内容：</w:t>
      </w:r>
      <w:r>
        <w:rPr>
          <w:rFonts w:hint="default" w:ascii="宋体" w:hAnsi="宋体" w:eastAsia="仿宋_GB2312" w:cs="Times New Roman"/>
          <w:b w:val="0"/>
          <w:bCs w:val="0"/>
          <w:kern w:val="2"/>
          <w:sz w:val="32"/>
          <w:szCs w:val="24"/>
          <w:highlight w:val="none"/>
          <w:lang w:eastAsia="zh-CN" w:bidi="ar-SA"/>
        </w:rPr>
        <w:t>研究</w:t>
      </w:r>
      <w:r>
        <w:rPr>
          <w:rFonts w:hint="default" w:ascii="宋体" w:hAnsi="宋体" w:eastAsia="仿宋_GB2312" w:cs="Times New Roman"/>
          <w:b w:val="0"/>
          <w:bCs w:val="0"/>
          <w:kern w:val="2"/>
          <w:sz w:val="32"/>
          <w:szCs w:val="24"/>
          <w:highlight w:val="none"/>
          <w:lang w:val="en-US" w:eastAsia="zh-CN" w:bidi="ar-SA"/>
        </w:rPr>
        <w:t>分析我国发挥行业</w:t>
      </w:r>
      <w:r>
        <w:rPr>
          <w:rFonts w:hint="default" w:ascii="宋体" w:hAnsi="宋体" w:eastAsia="仿宋_GB2312" w:cs="Times New Roman"/>
          <w:b w:val="0"/>
          <w:bCs w:val="0"/>
          <w:sz w:val="32"/>
          <w:szCs w:val="32"/>
          <w:highlight w:val="none"/>
          <w:lang w:val="en-US" w:eastAsia="zh-CN"/>
        </w:rPr>
        <w:t>企业</w:t>
      </w:r>
      <w:r>
        <w:rPr>
          <w:rFonts w:hint="eastAsia" w:ascii="宋体" w:hAnsi="宋体" w:eastAsia="仿宋_GB2312" w:cs="Times New Roman"/>
          <w:b w:val="0"/>
          <w:bCs w:val="0"/>
          <w:sz w:val="32"/>
          <w:szCs w:val="32"/>
          <w:highlight w:val="none"/>
          <w:lang w:val="en-US" w:eastAsia="zh-CN"/>
        </w:rPr>
        <w:t>技能人才工作</w:t>
      </w:r>
      <w:r>
        <w:rPr>
          <w:rFonts w:hint="default" w:ascii="宋体" w:hAnsi="宋体" w:eastAsia="仿宋_GB2312" w:cs="Times New Roman"/>
          <w:b w:val="0"/>
          <w:bCs w:val="0"/>
          <w:kern w:val="2"/>
          <w:sz w:val="32"/>
          <w:szCs w:val="24"/>
          <w:lang w:val="en-US" w:eastAsia="zh-CN" w:bidi="ar-SA"/>
        </w:rPr>
        <w:t>主体作用的实施情况，归纳整理相关省市引导、鼓励、支持企业发挥主体作用的经验做法</w:t>
      </w:r>
      <w:r>
        <w:rPr>
          <w:rFonts w:hint="eastAsia" w:ascii="宋体" w:hAnsi="宋体" w:eastAsia="仿宋_GB2312" w:cs="Times New Roman"/>
          <w:b w:val="0"/>
          <w:bCs w:val="0"/>
          <w:kern w:val="2"/>
          <w:sz w:val="32"/>
          <w:szCs w:val="24"/>
          <w:lang w:val="en-US" w:eastAsia="zh-CN" w:bidi="ar-SA"/>
        </w:rPr>
        <w:t>，</w:t>
      </w:r>
      <w:r>
        <w:rPr>
          <w:rFonts w:hint="default" w:ascii="宋体" w:hAnsi="宋体" w:eastAsia="仿宋_GB2312" w:cs="Times New Roman"/>
          <w:b w:val="0"/>
          <w:bCs w:val="0"/>
          <w:kern w:val="2"/>
          <w:sz w:val="32"/>
          <w:szCs w:val="24"/>
          <w:lang w:eastAsia="zh-CN" w:bidi="ar-SA"/>
        </w:rPr>
        <w:t>了</w:t>
      </w:r>
      <w:r>
        <w:rPr>
          <w:rFonts w:hint="default" w:ascii="宋体" w:hAnsi="宋体" w:eastAsia="仿宋_GB2312" w:cs="Times New Roman"/>
          <w:b w:val="0"/>
          <w:bCs w:val="0"/>
          <w:kern w:val="2"/>
          <w:sz w:val="32"/>
          <w:szCs w:val="24"/>
          <w:lang w:val="en-US" w:eastAsia="zh-CN" w:bidi="ar-SA"/>
        </w:rPr>
        <w:t>解培训机构、行业企业和职工在技能提升方面的需求、现有做法和存在的问题困难</w:t>
      </w:r>
      <w:r>
        <w:rPr>
          <w:rFonts w:hint="eastAsia" w:ascii="宋体" w:hAnsi="宋体" w:eastAsia="仿宋_GB2312" w:cs="Times New Roman"/>
          <w:b w:val="0"/>
          <w:bCs w:val="0"/>
          <w:kern w:val="2"/>
          <w:sz w:val="32"/>
          <w:szCs w:val="24"/>
          <w:lang w:val="en-US" w:eastAsia="zh-CN" w:bidi="ar-SA"/>
        </w:rPr>
        <w:t>；</w:t>
      </w:r>
      <w:r>
        <w:rPr>
          <w:rFonts w:hint="default" w:ascii="宋体" w:hAnsi="宋体" w:eastAsia="仿宋_GB2312" w:cs="Times New Roman"/>
          <w:b w:val="0"/>
          <w:bCs w:val="0"/>
          <w:kern w:val="2"/>
          <w:sz w:val="32"/>
          <w:szCs w:val="24"/>
          <w:lang w:val="en-US" w:eastAsia="zh-CN" w:bidi="ar-SA"/>
        </w:rPr>
        <w:t>梳理总结国内外在推动行业企业主体开展职工技能提升、产训结合、产教融合等方面的现行政策举措和优秀案例</w:t>
      </w:r>
      <w:r>
        <w:rPr>
          <w:rFonts w:hint="eastAsia" w:ascii="宋体" w:hAnsi="宋体" w:eastAsia="仿宋_GB2312" w:cs="Times New Roman"/>
          <w:b w:val="0"/>
          <w:bCs w:val="0"/>
          <w:kern w:val="2"/>
          <w:sz w:val="32"/>
          <w:szCs w:val="24"/>
          <w:lang w:val="en-US" w:eastAsia="zh-CN" w:bidi="ar-SA"/>
        </w:rPr>
        <w:t>；</w:t>
      </w:r>
      <w:r>
        <w:rPr>
          <w:rFonts w:hint="default" w:ascii="宋体" w:hAnsi="宋体" w:eastAsia="仿宋_GB2312" w:cs="Times New Roman"/>
          <w:b w:val="0"/>
          <w:bCs w:val="0"/>
          <w:kern w:val="2"/>
          <w:sz w:val="32"/>
          <w:szCs w:val="24"/>
          <w:lang w:val="en-US" w:eastAsia="zh-CN" w:bidi="ar-SA"/>
        </w:rPr>
        <w:t>提出发挥企业主体作用促进职工技能提升的实现路径及政策建议。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（九）加快技工教育高质量特色发展的路径研究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主要研究内容：</w:t>
      </w:r>
      <w:r>
        <w:rPr>
          <w:rFonts w:hint="eastAsia" w:ascii="宋体" w:hAnsi="宋体" w:eastAsia="仿宋_GB2312" w:cs="Times New Roman"/>
          <w:b w:val="0"/>
          <w:bCs w:val="0"/>
          <w:kern w:val="2"/>
          <w:sz w:val="32"/>
          <w:szCs w:val="24"/>
          <w:lang w:val="en-US" w:eastAsia="zh-CN" w:bidi="ar-SA"/>
        </w:rPr>
        <w:t>总结技工教育的办学特色、成就与经验、规律与趋势，提炼技工教育高质量发展的政策依据、理论依据和前期实践，分析制约加快我国技工教育特色发展的堵点、卡点及其成因，研提下一步加快技工教育特色发展的指导思想、总体目标、基本原则、对策建议、行动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（十）建立健全我国外国人才管理服务政策制度体系研究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b/>
          <w:bCs/>
          <w:sz w:val="32"/>
          <w:szCs w:val="32"/>
          <w:lang w:val="en-US" w:eastAsia="zh-CN"/>
        </w:rPr>
      </w:pPr>
      <w:r>
        <w:rPr>
          <w:rFonts w:hint="eastAsia" w:ascii="宋体" w:hAnsi="宋体" w:eastAsia="仿宋_GB2312" w:cs="仿宋_GB2312"/>
          <w:sz w:val="32"/>
          <w:szCs w:val="32"/>
          <w:highlight w:val="none"/>
          <w:lang w:val="en-US" w:eastAsia="zh-CN"/>
        </w:rPr>
        <w:t>主要研究内容：</w:t>
      </w:r>
      <w:r>
        <w:rPr>
          <w:rFonts w:hint="eastAsia" w:ascii="宋体" w:hAnsi="宋体" w:eastAsia="仿宋_GB2312" w:cs="Times New Roman"/>
          <w:b w:val="0"/>
          <w:bCs w:val="0"/>
          <w:kern w:val="2"/>
          <w:sz w:val="32"/>
          <w:szCs w:val="24"/>
          <w:lang w:val="en-US" w:eastAsia="zh-CN" w:bidi="ar-SA"/>
        </w:rPr>
        <w:t>系统梳理当前国内相关地方、部门外国人才政策制定和实施情况，提炼典型经验，摸清存在的问题和不足，分析研究主要创新大国和关键小国外国人才引进使用政策举措和典型经验做法，在深入调查研究基础上，研究提出建立健全外国人才管理服务政策体系的政策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（十一）事业单位人事管理监督制度政策研究</w:t>
      </w:r>
    </w:p>
    <w:p>
      <w:pPr>
        <w:keepNext w:val="0"/>
        <w:keepLines w:val="0"/>
        <w:pageBreakBefore w:val="0"/>
        <w:widowControl w:val="0"/>
        <w:kinsoku/>
        <w:wordWrap/>
        <w:overflowPunct/>
        <w:topLinePunct w:val="0"/>
        <w:autoSpaceDE/>
        <w:autoSpaceDN/>
        <w:bidi w:val="0"/>
        <w:adjustRightInd/>
        <w:snapToGrid/>
        <w:spacing w:line="640" w:lineRule="exact"/>
        <w:ind w:firstLine="560"/>
        <w:textAlignment w:val="auto"/>
        <w:rPr>
          <w:rFonts w:hint="eastAsia" w:ascii="仿宋_GB2312" w:eastAsia="仿宋_GB2312"/>
          <w:sz w:val="32"/>
          <w:szCs w:val="32"/>
        </w:rPr>
      </w:pPr>
      <w:r>
        <w:rPr>
          <w:rFonts w:hint="eastAsia" w:ascii="宋体" w:hAnsi="宋体" w:eastAsia="仿宋_GB2312" w:cs="仿宋_GB2312"/>
          <w:sz w:val="32"/>
          <w:szCs w:val="32"/>
          <w:highlight w:val="none"/>
          <w:lang w:val="en-US" w:eastAsia="zh-CN"/>
        </w:rPr>
        <w:t>主要研究内容：</w:t>
      </w:r>
      <w:r>
        <w:rPr>
          <w:rFonts w:hint="default" w:ascii="仿宋_GB2312" w:hAnsi="仿宋_GB2312" w:eastAsia="仿宋_GB2312" w:cs="仿宋_GB2312"/>
          <w:b w:val="0"/>
          <w:bCs w:val="0"/>
          <w:sz w:val="32"/>
          <w:szCs w:val="32"/>
          <w:lang w:eastAsia="zh-CN" w:bidi="ar-SA"/>
        </w:rPr>
        <w:t>梳理有关地区、部门开展事业单位人事管理监督工作情况</w:t>
      </w:r>
      <w:r>
        <w:rPr>
          <w:rFonts w:hint="eastAsia" w:ascii="仿宋_GB2312" w:hAnsi="仿宋_GB2312" w:eastAsia="仿宋_GB2312" w:cs="仿宋_GB2312"/>
          <w:b w:val="0"/>
          <w:bCs w:val="0"/>
          <w:sz w:val="32"/>
          <w:szCs w:val="32"/>
          <w:lang w:eastAsia="zh-CN" w:bidi="ar-SA"/>
        </w:rPr>
        <w:t>，</w:t>
      </w:r>
      <w:r>
        <w:rPr>
          <w:rFonts w:hint="default" w:ascii="仿宋_GB2312" w:hAnsi="仿宋_GB2312" w:eastAsia="仿宋_GB2312" w:cs="仿宋_GB2312"/>
          <w:b w:val="0"/>
          <w:bCs w:val="0"/>
          <w:sz w:val="32"/>
          <w:szCs w:val="32"/>
          <w:lang w:eastAsia="zh-CN" w:bidi="ar-SA"/>
        </w:rPr>
        <w:t>研究</w:t>
      </w:r>
      <w:r>
        <w:rPr>
          <w:rFonts w:hint="eastAsia" w:ascii="仿宋_GB2312" w:hAnsi="仿宋_GB2312" w:eastAsia="仿宋_GB2312" w:cs="仿宋_GB2312"/>
          <w:b w:val="0"/>
          <w:bCs w:val="0"/>
          <w:sz w:val="32"/>
          <w:szCs w:val="32"/>
          <w:lang w:eastAsia="zh-CN" w:bidi="ar-SA"/>
        </w:rPr>
        <w:t>在</w:t>
      </w:r>
      <w:r>
        <w:rPr>
          <w:rFonts w:hint="eastAsia" w:ascii="仿宋_GB2312" w:hAnsi="仿宋_GB2312" w:eastAsia="仿宋_GB2312" w:cs="仿宋_GB2312"/>
          <w:sz w:val="32"/>
          <w:szCs w:val="32"/>
          <w:lang w:bidi="ar-SA"/>
        </w:rPr>
        <w:t>事业单位人事管理过程中</w:t>
      </w:r>
      <w:r>
        <w:rPr>
          <w:rFonts w:hint="eastAsia" w:ascii="仿宋_GB2312" w:hAnsi="仿宋_GB2312" w:eastAsia="仿宋_GB2312" w:cs="仿宋_GB2312"/>
          <w:sz w:val="32"/>
          <w:szCs w:val="32"/>
          <w:lang w:eastAsia="zh-CN" w:bidi="ar-SA"/>
        </w:rPr>
        <w:t>对执行</w:t>
      </w:r>
      <w:r>
        <w:rPr>
          <w:rFonts w:hint="eastAsia" w:ascii="仿宋_GB2312" w:hAnsi="仿宋_GB2312" w:eastAsia="仿宋_GB2312" w:cs="仿宋_GB2312"/>
          <w:sz w:val="32"/>
          <w:szCs w:val="32"/>
          <w:lang w:bidi="ar-SA"/>
        </w:rPr>
        <w:t>岗位设置、</w:t>
      </w:r>
      <w:r>
        <w:rPr>
          <w:rFonts w:hint="default" w:ascii="仿宋_GB2312" w:hAnsi="仿宋_GB2312" w:eastAsia="仿宋_GB2312" w:cs="仿宋_GB2312"/>
          <w:sz w:val="32"/>
          <w:szCs w:val="32"/>
          <w:lang w:bidi="ar-SA"/>
        </w:rPr>
        <w:t>公开</w:t>
      </w:r>
      <w:r>
        <w:rPr>
          <w:rFonts w:hint="eastAsia" w:ascii="仿宋_GB2312" w:hAnsi="仿宋_GB2312" w:eastAsia="仿宋_GB2312" w:cs="仿宋_GB2312"/>
          <w:sz w:val="32"/>
          <w:szCs w:val="32"/>
          <w:lang w:bidi="ar-SA"/>
        </w:rPr>
        <w:t>招聘、考核、奖惩等法规、政策</w:t>
      </w:r>
      <w:r>
        <w:rPr>
          <w:rFonts w:hint="eastAsia" w:ascii="仿宋_GB2312" w:hAnsi="仿宋_GB2312" w:eastAsia="仿宋_GB2312" w:cs="仿宋_GB2312"/>
          <w:sz w:val="32"/>
          <w:szCs w:val="32"/>
          <w:lang w:eastAsia="zh-CN" w:bidi="ar-SA"/>
        </w:rPr>
        <w:t>等进</w:t>
      </w:r>
      <w:r>
        <w:rPr>
          <w:rFonts w:hint="eastAsia" w:ascii="仿宋_GB2312" w:hAnsi="仿宋_GB2312" w:eastAsia="仿宋_GB2312" w:cs="仿宋_GB2312"/>
          <w:b w:val="0"/>
          <w:bCs w:val="0"/>
          <w:sz w:val="32"/>
          <w:szCs w:val="32"/>
          <w:lang w:eastAsia="zh-CN" w:bidi="ar-SA"/>
        </w:rPr>
        <w:t>行监督</w:t>
      </w:r>
      <w:r>
        <w:rPr>
          <w:rFonts w:hint="eastAsia" w:ascii="仿宋_GB2312" w:hAnsi="仿宋_GB2312" w:eastAsia="仿宋_GB2312" w:cs="仿宋_GB2312"/>
          <w:kern w:val="2"/>
          <w:sz w:val="32"/>
          <w:szCs w:val="32"/>
          <w:lang w:eastAsia="zh-CN" w:bidi="ar-SA"/>
        </w:rPr>
        <w:t>的方法和程序</w:t>
      </w:r>
      <w:r>
        <w:rPr>
          <w:rFonts w:hint="default" w:ascii="仿宋_GB2312" w:hAnsi="仿宋_GB2312" w:eastAsia="仿宋_GB2312" w:cs="仿宋_GB2312"/>
          <w:b w:val="0"/>
          <w:bCs w:val="0"/>
          <w:sz w:val="32"/>
          <w:szCs w:val="32"/>
          <w:lang w:eastAsia="zh-CN" w:bidi="ar-SA"/>
        </w:rPr>
        <w:t>，</w:t>
      </w:r>
      <w:r>
        <w:rPr>
          <w:rFonts w:hint="eastAsia" w:ascii="仿宋_GB2312" w:hAnsi="仿宋_GB2312" w:eastAsia="仿宋_GB2312" w:cs="仿宋_GB2312"/>
          <w:sz w:val="32"/>
          <w:szCs w:val="32"/>
          <w:lang w:eastAsia="zh-CN" w:bidi="ar-SA"/>
        </w:rPr>
        <w:t>提出人事管理监督</w:t>
      </w:r>
      <w:r>
        <w:rPr>
          <w:rFonts w:hint="default" w:ascii="仿宋_GB2312" w:hAnsi="仿宋_GB2312" w:eastAsia="仿宋_GB2312" w:cs="仿宋_GB2312"/>
          <w:sz w:val="32"/>
          <w:szCs w:val="32"/>
          <w:lang w:bidi="ar-SA"/>
        </w:rPr>
        <w:t>与</w:t>
      </w:r>
      <w:r>
        <w:rPr>
          <w:rFonts w:hint="eastAsia" w:ascii="仿宋_GB2312" w:hAnsi="仿宋_GB2312" w:eastAsia="仿宋_GB2312" w:cs="仿宋_GB2312"/>
          <w:sz w:val="32"/>
          <w:szCs w:val="32"/>
          <w:lang w:bidi="ar-SA"/>
        </w:rPr>
        <w:t>党纪监督、巡视巡</w:t>
      </w:r>
      <w:r>
        <w:rPr>
          <w:rFonts w:hint="eastAsia" w:ascii="仿宋_GB2312" w:hAnsi="仿宋_GB2312" w:eastAsia="仿宋_GB2312" w:cs="仿宋_GB2312"/>
          <w:sz w:val="32"/>
          <w:szCs w:val="32"/>
          <w:lang w:eastAsia="zh-CN" w:bidi="ar-SA"/>
        </w:rPr>
        <w:t>察</w:t>
      </w:r>
      <w:r>
        <w:rPr>
          <w:rFonts w:hint="eastAsia" w:ascii="仿宋_GB2312" w:hAnsi="仿宋_GB2312" w:eastAsia="仿宋_GB2312" w:cs="仿宋_GB2312"/>
          <w:sz w:val="32"/>
          <w:szCs w:val="32"/>
          <w:lang w:bidi="ar-SA"/>
        </w:rPr>
        <w:t>、执法监督、内部业务监督</w:t>
      </w:r>
      <w:r>
        <w:rPr>
          <w:rFonts w:hint="default" w:ascii="仿宋_GB2312" w:hAnsi="仿宋_GB2312" w:eastAsia="仿宋_GB2312" w:cs="仿宋_GB2312"/>
          <w:sz w:val="32"/>
          <w:szCs w:val="32"/>
          <w:lang w:bidi="ar-SA"/>
        </w:rPr>
        <w:t>协调贯通</w:t>
      </w:r>
      <w:r>
        <w:rPr>
          <w:rFonts w:hint="eastAsia" w:ascii="仿宋_GB2312" w:hAnsi="仿宋_GB2312" w:eastAsia="仿宋_GB2312" w:cs="仿宋_GB2312"/>
          <w:sz w:val="32"/>
          <w:szCs w:val="32"/>
          <w:lang w:eastAsia="zh-CN" w:bidi="ar-SA"/>
        </w:rPr>
        <w:t>的方法途径</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（十二）超龄劳动者权益保障研究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主要研究内容：</w:t>
      </w:r>
      <w:r>
        <w:rPr>
          <w:rFonts w:hint="eastAsia" w:ascii="宋体" w:hAnsi="宋体" w:eastAsia="仿宋_GB2312" w:cs="Times New Roman"/>
          <w:color w:val="000000"/>
          <w:sz w:val="32"/>
          <w:szCs w:val="32"/>
          <w:lang w:eastAsia="zh-CN"/>
        </w:rPr>
        <w:t>针对</w:t>
      </w:r>
      <w:r>
        <w:rPr>
          <w:rFonts w:hint="default" w:ascii="宋体" w:hAnsi="宋体" w:eastAsia="仿宋_GB2312" w:cs="Times New Roman"/>
          <w:sz w:val="32"/>
          <w:szCs w:val="32"/>
          <w:lang w:val="en-US" w:eastAsia="zh-CN"/>
        </w:rPr>
        <w:t>当前</w:t>
      </w:r>
      <w:r>
        <w:rPr>
          <w:rFonts w:hint="default" w:ascii="宋体" w:hAnsi="宋体" w:eastAsia="仿宋_GB2312" w:cs="Times New Roman"/>
          <w:sz w:val="32"/>
          <w:szCs w:val="32"/>
          <w:lang w:eastAsia="zh-CN"/>
        </w:rPr>
        <w:t>我国超龄劳动者面临</w:t>
      </w:r>
      <w:r>
        <w:rPr>
          <w:rFonts w:hint="default" w:ascii="宋体" w:hAnsi="宋体" w:eastAsia="仿宋_GB2312" w:cs="Times New Roman"/>
          <w:sz w:val="32"/>
          <w:szCs w:val="32"/>
          <w:lang w:val="en-US" w:eastAsia="zh-CN"/>
        </w:rPr>
        <w:t>就业质量不高</w:t>
      </w:r>
      <w:r>
        <w:rPr>
          <w:rFonts w:hint="default" w:ascii="宋体" w:hAnsi="宋体" w:eastAsia="仿宋_GB2312" w:cs="Times New Roman"/>
          <w:sz w:val="32"/>
          <w:szCs w:val="32"/>
          <w:lang w:eastAsia="zh-CN"/>
        </w:rPr>
        <w:t>、</w:t>
      </w:r>
      <w:r>
        <w:rPr>
          <w:rFonts w:hint="default" w:ascii="宋体" w:hAnsi="宋体" w:eastAsia="仿宋_GB2312" w:cs="Times New Roman"/>
          <w:sz w:val="32"/>
          <w:szCs w:val="32"/>
          <w:lang w:val="en-US" w:eastAsia="zh-CN"/>
        </w:rPr>
        <w:t>劳动权益保障不足</w:t>
      </w:r>
      <w:r>
        <w:rPr>
          <w:rFonts w:hint="default" w:ascii="宋体" w:hAnsi="宋体" w:eastAsia="仿宋_GB2312" w:cs="Times New Roman"/>
          <w:sz w:val="32"/>
          <w:szCs w:val="32"/>
          <w:lang w:eastAsia="zh-CN"/>
        </w:rPr>
        <w:t>等问题</w:t>
      </w:r>
      <w:r>
        <w:rPr>
          <w:rFonts w:hint="eastAsia" w:ascii="宋体" w:hAnsi="宋体" w:eastAsia="仿宋_GB2312" w:cs="Times New Roman"/>
          <w:sz w:val="32"/>
          <w:szCs w:val="32"/>
          <w:lang w:eastAsia="zh-CN"/>
        </w:rPr>
        <w:t>，</w:t>
      </w:r>
      <w:r>
        <w:rPr>
          <w:rFonts w:hint="eastAsia" w:ascii="宋体" w:hAnsi="宋体" w:eastAsia="仿宋_GB2312" w:cs="Times New Roman"/>
          <w:color w:val="000000"/>
          <w:sz w:val="32"/>
          <w:szCs w:val="32"/>
          <w:lang w:eastAsia="zh-CN"/>
        </w:rPr>
        <w:t>梳理</w:t>
      </w:r>
      <w:r>
        <w:rPr>
          <w:rFonts w:hint="default" w:ascii="宋体" w:hAnsi="宋体" w:eastAsia="仿宋_GB2312" w:cs="Times New Roman"/>
          <w:color w:val="000000"/>
          <w:sz w:val="32"/>
          <w:szCs w:val="32"/>
          <w:lang w:eastAsia="zh-CN"/>
        </w:rPr>
        <w:t>当前超龄劳动者群体基本情况及权益保障现状</w:t>
      </w:r>
      <w:r>
        <w:rPr>
          <w:rFonts w:hint="eastAsia" w:ascii="宋体" w:hAnsi="宋体" w:eastAsia="仿宋_GB2312" w:cs="Times New Roman"/>
          <w:color w:val="000000"/>
          <w:sz w:val="32"/>
          <w:szCs w:val="32"/>
          <w:lang w:eastAsia="zh-CN"/>
        </w:rPr>
        <w:t>，总结</w:t>
      </w:r>
      <w:r>
        <w:rPr>
          <w:rFonts w:hint="default" w:ascii="宋体" w:hAnsi="宋体" w:eastAsia="仿宋_GB2312" w:cs="Times New Roman"/>
          <w:color w:val="000000"/>
          <w:sz w:val="32"/>
          <w:szCs w:val="32"/>
          <w:lang w:eastAsia="zh-CN"/>
        </w:rPr>
        <w:t>国内外超龄劳动者权益保障制度体系</w:t>
      </w:r>
      <w:r>
        <w:rPr>
          <w:rFonts w:hint="eastAsia" w:ascii="宋体" w:hAnsi="宋体" w:eastAsia="仿宋_GB2312" w:cs="Times New Roman"/>
          <w:color w:val="000000"/>
          <w:sz w:val="32"/>
          <w:szCs w:val="32"/>
          <w:lang w:eastAsia="zh-CN"/>
        </w:rPr>
        <w:t>建设情况，提出</w:t>
      </w:r>
      <w:r>
        <w:rPr>
          <w:rFonts w:hint="default" w:ascii="宋体" w:hAnsi="宋体" w:eastAsia="仿宋_GB2312" w:cs="Times New Roman"/>
          <w:color w:val="000000"/>
          <w:sz w:val="32"/>
          <w:szCs w:val="32"/>
          <w:lang w:eastAsia="zh-CN"/>
        </w:rPr>
        <w:t>我国超龄劳动者权益实现路径</w:t>
      </w:r>
      <w:r>
        <w:rPr>
          <w:rFonts w:hint="eastAsia" w:ascii="宋体" w:hAnsi="宋体" w:eastAsia="仿宋_GB2312" w:cs="Times New Roman"/>
          <w:color w:val="000000"/>
          <w:sz w:val="32"/>
          <w:szCs w:val="32"/>
          <w:lang w:eastAsia="zh-CN"/>
        </w:rPr>
        <w:t>和劳动者权益保障政策举措建议。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（十三）对接高标准经贸规则有关劳工权益保障的政策研究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sz w:val="32"/>
          <w:szCs w:val="32"/>
          <w:lang w:val="en-US" w:eastAsia="zh-CN"/>
        </w:rPr>
      </w:pPr>
      <w:r>
        <w:rPr>
          <w:rFonts w:hint="eastAsia" w:ascii="宋体" w:hAnsi="宋体" w:eastAsia="仿宋_GB2312" w:cs="仿宋_GB2312"/>
          <w:sz w:val="32"/>
          <w:szCs w:val="32"/>
          <w:highlight w:val="none"/>
          <w:lang w:val="en-US" w:eastAsia="zh-CN"/>
        </w:rPr>
        <w:t>主要研究内容：</w:t>
      </w:r>
      <w:r>
        <w:rPr>
          <w:rFonts w:hint="eastAsia" w:ascii="宋体" w:hAnsi="宋体" w:eastAsia="仿宋_GB2312" w:cs="Times New Roman"/>
          <w:kern w:val="2"/>
          <w:sz w:val="32"/>
          <w:szCs w:val="32"/>
          <w:lang w:eastAsia="zh-CN" w:bidi="ar-SA"/>
        </w:rPr>
        <w:t>总结</w:t>
      </w:r>
      <w:r>
        <w:rPr>
          <w:rFonts w:hint="default" w:ascii="宋体" w:hAnsi="宋体" w:eastAsia="仿宋_GB2312" w:cs="Times New Roman"/>
          <w:kern w:val="2"/>
          <w:sz w:val="32"/>
          <w:szCs w:val="32"/>
          <w:lang w:eastAsia="zh-CN" w:bidi="ar-SA"/>
        </w:rPr>
        <w:t>上海自贸试验区内企业和谐劳动关系创建的典型经验</w:t>
      </w:r>
      <w:r>
        <w:rPr>
          <w:rFonts w:hint="eastAsia" w:ascii="宋体" w:hAnsi="宋体" w:eastAsia="仿宋_GB2312" w:cs="Times New Roman"/>
          <w:kern w:val="2"/>
          <w:sz w:val="32"/>
          <w:szCs w:val="32"/>
          <w:lang w:eastAsia="zh-CN" w:bidi="ar-SA"/>
        </w:rPr>
        <w:t>，提出</w:t>
      </w:r>
      <w:r>
        <w:rPr>
          <w:rFonts w:hint="default" w:ascii="宋体" w:hAnsi="宋体" w:eastAsia="仿宋_GB2312" w:cs="Times New Roman"/>
          <w:kern w:val="2"/>
          <w:sz w:val="32"/>
          <w:szCs w:val="32"/>
          <w:lang w:eastAsia="zh-CN" w:bidi="ar-SA"/>
        </w:rPr>
        <w:t>自贸区协调劳动关系三方机制组织领导机构、协商议事规则、职能职责分工、支撑保障措施等</w:t>
      </w:r>
      <w:r>
        <w:rPr>
          <w:rFonts w:hint="eastAsia" w:ascii="宋体" w:hAnsi="宋体" w:eastAsia="仿宋_GB2312" w:cs="Times New Roman"/>
          <w:kern w:val="2"/>
          <w:sz w:val="32"/>
          <w:szCs w:val="32"/>
          <w:lang w:eastAsia="zh-CN" w:bidi="ar-SA"/>
        </w:rPr>
        <w:t>，研究</w:t>
      </w:r>
      <w:r>
        <w:rPr>
          <w:rFonts w:hint="default" w:ascii="宋体" w:hAnsi="宋体" w:eastAsia="仿宋_GB2312" w:cs="Times New Roman"/>
          <w:kern w:val="2"/>
          <w:sz w:val="32"/>
          <w:szCs w:val="32"/>
          <w:lang w:eastAsia="zh-CN" w:bidi="ar-SA"/>
        </w:rPr>
        <w:t>培育基层劳动关系公共服务站点主要做法</w:t>
      </w:r>
      <w:r>
        <w:rPr>
          <w:rFonts w:hint="eastAsia" w:ascii="宋体" w:hAnsi="宋体" w:eastAsia="仿宋_GB2312" w:cs="Times New Roman"/>
          <w:kern w:val="2"/>
          <w:sz w:val="32"/>
          <w:szCs w:val="32"/>
          <w:lang w:eastAsia="zh-CN" w:bidi="ar-SA"/>
        </w:rPr>
        <w:t>，</w:t>
      </w:r>
      <w:r>
        <w:rPr>
          <w:rFonts w:hint="eastAsia" w:ascii="宋体" w:hAnsi="宋体" w:eastAsia="仿宋_GB2312" w:cs="仿宋_GB2312"/>
          <w:sz w:val="32"/>
          <w:szCs w:val="32"/>
          <w:lang w:val="en-US" w:eastAsia="zh-CN"/>
        </w:rPr>
        <w:t>总结提炼适合中国国情、具有中国特色的劳动者权益保障规则新实践新经验。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（十四）进一步推进农民工市民化研究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宋体" w:hAnsi="宋体" w:eastAsia="仿宋_GB2312" w:cs="Times New Roman"/>
          <w:i w:val="0"/>
          <w:caps w:val="0"/>
          <w:color w:val="000000"/>
          <w:spacing w:val="0"/>
          <w:sz w:val="32"/>
          <w:szCs w:val="32"/>
          <w:shd w:val="clear" w:color="auto" w:fill="FFFFFF"/>
          <w:lang w:val="en-US" w:eastAsia="zh-CN"/>
        </w:rPr>
      </w:pPr>
      <w:r>
        <w:rPr>
          <w:rFonts w:hint="eastAsia" w:ascii="宋体" w:hAnsi="宋体" w:eastAsia="仿宋_GB2312" w:cs="仿宋_GB2312"/>
          <w:sz w:val="32"/>
          <w:szCs w:val="32"/>
          <w:highlight w:val="none"/>
          <w:lang w:val="en-US" w:eastAsia="zh-CN"/>
        </w:rPr>
        <w:t>主要研究内容：</w:t>
      </w:r>
      <w:r>
        <w:rPr>
          <w:rFonts w:hint="default" w:ascii="宋体" w:hAnsi="宋体" w:eastAsia="仿宋_GB2312" w:cs="Times New Roman"/>
          <w:i w:val="0"/>
          <w:caps w:val="0"/>
          <w:color w:val="000000"/>
          <w:spacing w:val="0"/>
          <w:sz w:val="32"/>
          <w:szCs w:val="32"/>
          <w:shd w:val="clear" w:color="auto" w:fill="FFFFFF"/>
          <w:lang w:val="en-US" w:eastAsia="zh-CN"/>
        </w:rPr>
        <w:t>梳理现有农民工市民化政策举措、实施效果、存在问题，了解分城市规模</w:t>
      </w:r>
      <w:r>
        <w:rPr>
          <w:rFonts w:hint="eastAsia" w:ascii="宋体" w:hAnsi="宋体" w:eastAsia="仿宋_GB2312" w:cs="Times New Roman"/>
          <w:i w:val="0"/>
          <w:caps w:val="0"/>
          <w:color w:val="000000"/>
          <w:spacing w:val="0"/>
          <w:sz w:val="32"/>
          <w:szCs w:val="32"/>
          <w:shd w:val="clear" w:color="auto" w:fill="FFFFFF"/>
          <w:lang w:val="en-US" w:eastAsia="zh-CN"/>
        </w:rPr>
        <w:t>、分群体的</w:t>
      </w:r>
      <w:r>
        <w:rPr>
          <w:rFonts w:hint="default" w:ascii="宋体" w:hAnsi="宋体" w:eastAsia="仿宋_GB2312" w:cs="Times New Roman"/>
          <w:i w:val="0"/>
          <w:caps w:val="0"/>
          <w:color w:val="000000"/>
          <w:spacing w:val="0"/>
          <w:sz w:val="32"/>
          <w:szCs w:val="32"/>
          <w:shd w:val="clear" w:color="auto" w:fill="FFFFFF"/>
          <w:lang w:val="en-US" w:eastAsia="zh-CN"/>
        </w:rPr>
        <w:t>农民工市民化情况，分析未来农民工市民化发展趋势，提出当前和今后一段时期</w:t>
      </w:r>
      <w:r>
        <w:rPr>
          <w:rFonts w:hint="eastAsia" w:ascii="宋体" w:hAnsi="宋体" w:eastAsia="仿宋_GB2312" w:cs="Times New Roman"/>
          <w:i w:val="0"/>
          <w:caps w:val="0"/>
          <w:color w:val="000000"/>
          <w:spacing w:val="0"/>
          <w:sz w:val="32"/>
          <w:szCs w:val="32"/>
          <w:shd w:val="clear" w:color="auto" w:fill="FFFFFF"/>
          <w:lang w:val="en-US" w:eastAsia="zh-CN"/>
        </w:rPr>
        <w:t>实施新型城镇化战略下推进</w:t>
      </w:r>
      <w:r>
        <w:rPr>
          <w:rFonts w:hint="default" w:ascii="宋体" w:hAnsi="宋体" w:eastAsia="仿宋_GB2312" w:cs="Times New Roman"/>
          <w:i w:val="0"/>
          <w:caps w:val="0"/>
          <w:color w:val="000000"/>
          <w:spacing w:val="0"/>
          <w:sz w:val="32"/>
          <w:szCs w:val="32"/>
          <w:shd w:val="clear" w:color="auto" w:fill="FFFFFF"/>
          <w:lang w:val="en-US" w:eastAsia="zh-CN"/>
        </w:rPr>
        <w:t>农民工市民化的工作</w:t>
      </w:r>
      <w:r>
        <w:rPr>
          <w:rFonts w:hint="eastAsia" w:ascii="宋体" w:hAnsi="宋体" w:eastAsia="仿宋_GB2312" w:cs="Times New Roman"/>
          <w:i w:val="0"/>
          <w:caps w:val="0"/>
          <w:color w:val="000000"/>
          <w:spacing w:val="0"/>
          <w:sz w:val="32"/>
          <w:szCs w:val="32"/>
          <w:shd w:val="clear" w:color="auto" w:fill="FFFFFF"/>
          <w:lang w:val="en-US" w:eastAsia="zh-CN"/>
        </w:rPr>
        <w:t>任务</w:t>
      </w:r>
      <w:r>
        <w:rPr>
          <w:rFonts w:hint="default" w:ascii="宋体" w:hAnsi="宋体" w:eastAsia="仿宋_GB2312" w:cs="Times New Roman"/>
          <w:i w:val="0"/>
          <w:caps w:val="0"/>
          <w:color w:val="000000"/>
          <w:spacing w:val="0"/>
          <w:sz w:val="32"/>
          <w:szCs w:val="32"/>
          <w:shd w:val="clear" w:color="auto" w:fill="FFFFFF"/>
          <w:lang w:val="en-US" w:eastAsia="zh-CN"/>
        </w:rPr>
        <w:t>、具体措施和实现路径。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（十五）</w:t>
      </w:r>
      <w:r>
        <w:rPr>
          <w:rFonts w:hint="eastAsia" w:ascii="宋体" w:hAnsi="宋体" w:eastAsia="楷体_GB2312" w:cs="楷体_GB2312"/>
          <w:w w:val="100"/>
          <w:sz w:val="32"/>
          <w:szCs w:val="32"/>
          <w:highlight w:val="none"/>
          <w:lang w:val="en-US" w:eastAsia="zh-CN"/>
        </w:rPr>
        <w:t>“十五五”时期人力资源和社会保障事业发展主要机遇挑战及对策研究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Times New Roman"/>
          <w:b w:val="0"/>
          <w:bCs w:val="0"/>
          <w:kern w:val="2"/>
          <w:sz w:val="32"/>
          <w:szCs w:val="24"/>
          <w:lang w:val="en-US" w:eastAsia="zh-CN" w:bidi="ar-SA"/>
        </w:rPr>
      </w:pPr>
      <w:r>
        <w:rPr>
          <w:rFonts w:hint="eastAsia" w:ascii="宋体" w:hAnsi="宋体" w:eastAsia="仿宋_GB2312" w:cs="仿宋_GB2312"/>
          <w:sz w:val="32"/>
          <w:szCs w:val="32"/>
          <w:highlight w:val="none"/>
          <w:lang w:val="en-US" w:eastAsia="zh-CN"/>
        </w:rPr>
        <w:t>主要研究内容：分析</w:t>
      </w:r>
      <w:r>
        <w:rPr>
          <w:rFonts w:hint="default" w:ascii="宋体" w:hAnsi="宋体" w:eastAsia="仿宋_GB2312" w:cs="Times New Roman"/>
          <w:b w:val="0"/>
          <w:bCs w:val="0"/>
          <w:kern w:val="2"/>
          <w:sz w:val="32"/>
          <w:szCs w:val="24"/>
          <w:lang w:val="en-US" w:eastAsia="zh-CN" w:bidi="ar-SA"/>
        </w:rPr>
        <w:t>“十五五”时期国内外经济社会发展</w:t>
      </w:r>
      <w:r>
        <w:rPr>
          <w:rFonts w:hint="eastAsia" w:ascii="宋体" w:hAnsi="宋体" w:eastAsia="仿宋_GB2312" w:cs="Times New Roman"/>
          <w:b w:val="0"/>
          <w:bCs w:val="0"/>
          <w:kern w:val="2"/>
          <w:sz w:val="32"/>
          <w:szCs w:val="24"/>
          <w:lang w:val="en-US" w:eastAsia="zh-CN" w:bidi="ar-SA"/>
        </w:rPr>
        <w:t>变革</w:t>
      </w:r>
      <w:r>
        <w:rPr>
          <w:rFonts w:hint="default" w:ascii="宋体" w:hAnsi="宋体" w:eastAsia="仿宋_GB2312" w:cs="Times New Roman"/>
          <w:b w:val="0"/>
          <w:bCs w:val="0"/>
          <w:kern w:val="2"/>
          <w:sz w:val="32"/>
          <w:szCs w:val="24"/>
          <w:lang w:val="en-US" w:eastAsia="zh-CN" w:bidi="ar-SA"/>
        </w:rPr>
        <w:t>对人力资源社会保障事业带来的深刻影响</w:t>
      </w:r>
      <w:r>
        <w:rPr>
          <w:rFonts w:hint="eastAsia" w:ascii="宋体" w:hAnsi="宋体" w:eastAsia="仿宋_GB2312" w:cs="Times New Roman"/>
          <w:b w:val="0"/>
          <w:bCs w:val="0"/>
          <w:kern w:val="2"/>
          <w:sz w:val="32"/>
          <w:szCs w:val="24"/>
          <w:lang w:val="en-US" w:eastAsia="zh-CN" w:bidi="ar-SA"/>
        </w:rPr>
        <w:t>，研究</w:t>
      </w:r>
      <w:r>
        <w:rPr>
          <w:rFonts w:hint="default" w:ascii="宋体" w:hAnsi="宋体" w:eastAsia="仿宋_GB2312" w:cs="Times New Roman"/>
          <w:b w:val="0"/>
          <w:bCs w:val="0"/>
          <w:kern w:val="2"/>
          <w:sz w:val="32"/>
          <w:szCs w:val="24"/>
          <w:lang w:val="en-US" w:eastAsia="zh-CN" w:bidi="ar-SA"/>
        </w:rPr>
        <w:t>就业创业、社会保障、人才人事、劳动关系和公共服务</w:t>
      </w:r>
      <w:r>
        <w:rPr>
          <w:rFonts w:hint="eastAsia" w:ascii="宋体" w:hAnsi="宋体" w:eastAsia="仿宋_GB2312" w:cs="Times New Roman"/>
          <w:b w:val="0"/>
          <w:bCs w:val="0"/>
          <w:kern w:val="2"/>
          <w:sz w:val="32"/>
          <w:szCs w:val="24"/>
          <w:lang w:val="en-US" w:eastAsia="zh-CN" w:bidi="ar-SA"/>
        </w:rPr>
        <w:t>，以及</w:t>
      </w:r>
      <w:r>
        <w:rPr>
          <w:rFonts w:hint="default" w:ascii="宋体" w:hAnsi="宋体" w:eastAsia="仿宋_GB2312" w:cs="Times New Roman"/>
          <w:b w:val="0"/>
          <w:bCs w:val="0"/>
          <w:kern w:val="2"/>
          <w:sz w:val="32"/>
          <w:szCs w:val="24"/>
          <w:lang w:val="en-US" w:eastAsia="zh-CN" w:bidi="ar-SA"/>
        </w:rPr>
        <w:t>贯彻落实国家区域协调发展战略等</w:t>
      </w:r>
      <w:r>
        <w:rPr>
          <w:rFonts w:hint="eastAsia" w:ascii="宋体" w:hAnsi="宋体" w:eastAsia="仿宋_GB2312" w:cs="Times New Roman"/>
          <w:b w:val="0"/>
          <w:bCs w:val="0"/>
          <w:kern w:val="2"/>
          <w:sz w:val="32"/>
          <w:szCs w:val="24"/>
          <w:lang w:val="en-US" w:eastAsia="zh-CN" w:bidi="ar-SA"/>
        </w:rPr>
        <w:t>工作</w:t>
      </w:r>
      <w:r>
        <w:rPr>
          <w:rFonts w:hint="default" w:ascii="宋体" w:hAnsi="宋体" w:eastAsia="仿宋_GB2312" w:cs="Times New Roman"/>
          <w:b w:val="0"/>
          <w:bCs w:val="0"/>
          <w:kern w:val="2"/>
          <w:sz w:val="32"/>
          <w:szCs w:val="24"/>
          <w:lang w:val="en-US" w:eastAsia="zh-CN" w:bidi="ar-SA"/>
        </w:rPr>
        <w:t>面临的机遇挑战</w:t>
      </w:r>
      <w:r>
        <w:rPr>
          <w:rFonts w:hint="eastAsia" w:ascii="宋体" w:hAnsi="宋体" w:eastAsia="仿宋_GB2312" w:cs="Times New Roman"/>
          <w:b w:val="0"/>
          <w:bCs w:val="0"/>
          <w:kern w:val="2"/>
          <w:sz w:val="32"/>
          <w:szCs w:val="24"/>
          <w:lang w:val="en-US" w:eastAsia="zh-CN" w:bidi="ar-SA"/>
        </w:rPr>
        <w:t>，提出</w:t>
      </w:r>
      <w:r>
        <w:rPr>
          <w:rFonts w:hint="default" w:ascii="宋体" w:hAnsi="宋体" w:eastAsia="仿宋_GB2312" w:cs="Times New Roman"/>
          <w:b w:val="0"/>
          <w:bCs w:val="0"/>
          <w:kern w:val="2"/>
          <w:sz w:val="32"/>
          <w:szCs w:val="24"/>
          <w:lang w:val="en-US" w:eastAsia="zh-CN" w:bidi="ar-SA"/>
        </w:rPr>
        <w:t>“十五五”时期人</w:t>
      </w:r>
      <w:r>
        <w:rPr>
          <w:rFonts w:hint="eastAsia" w:ascii="宋体" w:hAnsi="宋体" w:eastAsia="仿宋_GB2312" w:cs="Times New Roman"/>
          <w:b w:val="0"/>
          <w:bCs w:val="0"/>
          <w:kern w:val="2"/>
          <w:sz w:val="32"/>
          <w:szCs w:val="24"/>
          <w:lang w:val="en-US" w:eastAsia="zh-CN" w:bidi="ar-SA"/>
        </w:rPr>
        <w:t>力资源社会保障</w:t>
      </w:r>
      <w:r>
        <w:rPr>
          <w:rFonts w:hint="default" w:ascii="宋体" w:hAnsi="宋体" w:eastAsia="仿宋_GB2312" w:cs="Times New Roman"/>
          <w:b w:val="0"/>
          <w:bCs w:val="0"/>
          <w:kern w:val="2"/>
          <w:sz w:val="32"/>
          <w:szCs w:val="24"/>
          <w:lang w:val="en-US" w:eastAsia="zh-CN" w:bidi="ar-SA"/>
        </w:rPr>
        <w:t>工作的主要目标</w:t>
      </w:r>
      <w:r>
        <w:rPr>
          <w:rFonts w:hint="eastAsia" w:ascii="宋体" w:hAnsi="宋体" w:eastAsia="仿宋_GB2312" w:cs="Times New Roman"/>
          <w:b w:val="0"/>
          <w:bCs w:val="0"/>
          <w:kern w:val="2"/>
          <w:sz w:val="32"/>
          <w:szCs w:val="24"/>
          <w:lang w:val="en-US" w:eastAsia="zh-CN" w:bidi="ar-SA"/>
        </w:rPr>
        <w:t>、</w:t>
      </w:r>
      <w:r>
        <w:rPr>
          <w:rFonts w:hint="default" w:ascii="宋体" w:hAnsi="宋体" w:eastAsia="仿宋_GB2312" w:cs="Times New Roman"/>
          <w:b w:val="0"/>
          <w:bCs w:val="0"/>
          <w:kern w:val="2"/>
          <w:sz w:val="32"/>
          <w:szCs w:val="24"/>
          <w:lang w:val="en-US" w:eastAsia="zh-CN" w:bidi="ar-SA"/>
        </w:rPr>
        <w:t>重要指标</w:t>
      </w:r>
      <w:r>
        <w:rPr>
          <w:rFonts w:hint="eastAsia" w:ascii="宋体" w:hAnsi="宋体" w:eastAsia="仿宋_GB2312" w:cs="Times New Roman"/>
          <w:b w:val="0"/>
          <w:bCs w:val="0"/>
          <w:kern w:val="2"/>
          <w:sz w:val="32"/>
          <w:szCs w:val="24"/>
          <w:lang w:val="en-US" w:eastAsia="zh-CN" w:bidi="ar-SA"/>
        </w:rPr>
        <w:t>和</w:t>
      </w:r>
      <w:r>
        <w:rPr>
          <w:rFonts w:hint="default" w:ascii="宋体" w:hAnsi="宋体" w:eastAsia="仿宋_GB2312" w:cs="Times New Roman"/>
          <w:b w:val="0"/>
          <w:bCs w:val="0"/>
          <w:kern w:val="2"/>
          <w:sz w:val="32"/>
          <w:szCs w:val="24"/>
          <w:lang w:val="en-US" w:eastAsia="zh-CN" w:bidi="ar-SA"/>
        </w:rPr>
        <w:t>政策建议。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楷体_GB2312" w:cs="楷体_GB2312"/>
          <w:sz w:val="32"/>
          <w:szCs w:val="32"/>
          <w:highlight w:val="none"/>
          <w:lang w:val="en-US" w:eastAsia="zh-CN"/>
        </w:rPr>
      </w:pPr>
      <w:r>
        <w:rPr>
          <w:rFonts w:hint="eastAsia" w:ascii="宋体" w:hAnsi="宋体" w:eastAsia="楷体_GB2312" w:cs="楷体_GB2312"/>
          <w:sz w:val="32"/>
          <w:szCs w:val="32"/>
          <w:highlight w:val="none"/>
          <w:lang w:val="en-US" w:eastAsia="zh-CN"/>
        </w:rPr>
        <w:t>（十六）人工智能对就业和社会保障的影响及政策应对研究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jc w:val="both"/>
        <w:textAlignment w:val="auto"/>
        <w:rPr>
          <w:rFonts w:hint="eastAsia" w:ascii="宋体" w:hAnsi="宋体" w:eastAsia="仿宋_GB2312" w:cs="仿宋_GB2312"/>
          <w:b/>
          <w:bCs/>
          <w:sz w:val="32"/>
          <w:szCs w:val="32"/>
          <w:lang w:val="en-US" w:eastAsia="zh-CN"/>
        </w:rPr>
      </w:pPr>
      <w:r>
        <w:rPr>
          <w:rFonts w:hint="eastAsia" w:ascii="宋体" w:hAnsi="宋体" w:eastAsia="仿宋_GB2312" w:cs="仿宋_GB2312"/>
          <w:sz w:val="32"/>
          <w:szCs w:val="32"/>
          <w:highlight w:val="none"/>
          <w:lang w:val="en-US" w:eastAsia="zh-CN"/>
        </w:rPr>
        <w:t>主要研究内容：</w:t>
      </w:r>
      <w:r>
        <w:rPr>
          <w:rFonts w:hint="eastAsia" w:ascii="宋体" w:hAnsi="宋体" w:eastAsia="仿宋_GB2312" w:cs="仿宋_GB2312"/>
          <w:b w:val="0"/>
          <w:bCs w:val="0"/>
          <w:sz w:val="32"/>
          <w:szCs w:val="32"/>
          <w:lang w:val="en-US" w:eastAsia="zh-CN"/>
        </w:rPr>
        <w:t>研究国际国内人工智能发展趋势，及其对产业发展的主要影响，应对智能化发展的治理方式、应对策略等；研究人工智能在就业替代、人力资源市场供求、人才培养、技能提升、社会保险、劳动关系等领域的主要影响，及其对就业总量、就业结构及收入结构、社保基金收支等的影响；研究提出“十五五”时期人社领域应对人工智能发展的主要政策措施，包括政策法规、制度机制、标准规范等有关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宋体" w:hAnsi="宋体" w:eastAsia="黑体" w:cs="黑体"/>
          <w:sz w:val="32"/>
          <w:szCs w:val="32"/>
          <w:highlight w:val="none"/>
          <w:lang w:val="en-US" w:eastAsia="zh-CN"/>
        </w:rPr>
      </w:pPr>
      <w:r>
        <w:rPr>
          <w:rFonts w:hint="eastAsia" w:ascii="宋体" w:hAnsi="宋体" w:eastAsia="黑体" w:cs="黑体"/>
          <w:sz w:val="32"/>
          <w:szCs w:val="32"/>
          <w:highlight w:val="none"/>
          <w:lang w:val="en-US" w:eastAsia="zh-CN"/>
        </w:rPr>
        <w:t>三</w:t>
      </w:r>
      <w:r>
        <w:rPr>
          <w:rFonts w:hint="eastAsia" w:ascii="宋体" w:hAnsi="宋体" w:eastAsia="黑体" w:cs="黑体"/>
          <w:kern w:val="2"/>
          <w:sz w:val="32"/>
          <w:szCs w:val="32"/>
          <w:highlight w:val="none"/>
          <w:lang w:val="en-US" w:eastAsia="zh-CN" w:bidi="ar-SA"/>
        </w:rPr>
        <w:t>、</w:t>
      </w:r>
      <w:r>
        <w:rPr>
          <w:rFonts w:hint="eastAsia" w:ascii="宋体" w:hAnsi="宋体" w:eastAsia="黑体" w:cs="黑体"/>
          <w:sz w:val="32"/>
          <w:szCs w:val="32"/>
          <w:highlight w:val="none"/>
          <w:lang w:val="en-US" w:eastAsia="zh-CN"/>
        </w:rPr>
        <w:t>申报要求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kern w:val="2"/>
          <w:sz w:val="32"/>
          <w:szCs w:val="32"/>
          <w:highlight w:val="none"/>
          <w:lang w:val="en-US" w:eastAsia="zh-CN" w:bidi="ar-SA"/>
        </w:rPr>
        <w:t>（一）申报条件：申报单位原则上应为高等院校、科研院所、企业型研究机构等</w:t>
      </w:r>
      <w:r>
        <w:rPr>
          <w:rFonts w:hint="eastAsia" w:ascii="宋体" w:hAnsi="宋体" w:eastAsia="仿宋_GB2312" w:cs="仿宋_GB2312"/>
          <w:sz w:val="32"/>
          <w:szCs w:val="32"/>
          <w:highlight w:val="none"/>
          <w:lang w:val="en-US" w:eastAsia="zh-CN"/>
        </w:rPr>
        <w:t>，</w:t>
      </w:r>
      <w:r>
        <w:rPr>
          <w:rFonts w:hint="eastAsia" w:ascii="宋体" w:hAnsi="宋体" w:eastAsia="仿宋_GB2312" w:cs="仿宋_GB2312"/>
          <w:kern w:val="2"/>
          <w:sz w:val="32"/>
          <w:szCs w:val="32"/>
          <w:highlight w:val="none"/>
          <w:lang w:val="en-US" w:eastAsia="zh-CN" w:bidi="ar-SA"/>
        </w:rPr>
        <w:t>并</w:t>
      </w:r>
      <w:r>
        <w:rPr>
          <w:rFonts w:hint="eastAsia" w:ascii="宋体" w:hAnsi="宋体" w:eastAsia="仿宋_GB2312" w:cs="仿宋_GB2312"/>
          <w:sz w:val="32"/>
          <w:szCs w:val="32"/>
          <w:highlight w:val="none"/>
          <w:lang w:val="en-US" w:eastAsia="zh-CN"/>
        </w:rPr>
        <w:t>具有完成课题必需的人力和物力条件。课题负责人应当在相关研究领域具有较高的学术造诣，具有副高级以上（含）职称，曾主持并完成过至少一项部级或省级课题。一人限申报一项课题，同一研究内容不得多头申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二）申报方式：自本通知发布之日起，符合条件的申报单位，可在本指南规定的研究题目范围内选题申报，并按要求填写《人力资源社会保障部重大课题申报书》，一式三份，加盖本单位公章后，通过EMS邮寄至联系地址，信封上注明“申报课题”字样；同时将申报书电子版发送到联系人电子邮箱，邮件主题为“申报课题名称—申报单位名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宋体" w:hAnsi="宋体" w:eastAsia="仿宋_GB2312" w:cs="仿宋_GB2312"/>
          <w:sz w:val="32"/>
          <w:szCs w:val="32"/>
          <w:highlight w:val="none"/>
          <w:lang w:val="en-US" w:eastAsia="zh-CN"/>
        </w:rPr>
      </w:pPr>
      <w:r>
        <w:rPr>
          <w:rFonts w:hint="eastAsia" w:ascii="宋体" w:hAnsi="宋体" w:eastAsia="仿宋_GB2312" w:cs="仿宋_GB2312"/>
          <w:kern w:val="2"/>
          <w:sz w:val="32"/>
          <w:szCs w:val="32"/>
          <w:highlight w:val="none"/>
          <w:lang w:val="en-US" w:eastAsia="zh-CN" w:bidi="ar-SA"/>
        </w:rPr>
        <w:t>（三）申报时间：</w:t>
      </w:r>
      <w:r>
        <w:rPr>
          <w:rFonts w:hint="eastAsia" w:ascii="宋体" w:hAnsi="宋体" w:eastAsia="仿宋_GB2312" w:cs="仿宋_GB2312"/>
          <w:sz w:val="32"/>
          <w:szCs w:val="32"/>
          <w:highlight w:val="none"/>
          <w:lang w:val="en-US" w:eastAsia="zh-CN"/>
        </w:rPr>
        <w:t>申报截止时间为2024年5月6日（以寄出邮戳日期为准），逾期不再受理。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黑体" w:cs="黑体"/>
          <w:sz w:val="32"/>
          <w:szCs w:val="32"/>
          <w:highlight w:val="none"/>
          <w:lang w:val="en-US" w:eastAsia="zh-CN"/>
        </w:rPr>
      </w:pPr>
      <w:r>
        <w:rPr>
          <w:rFonts w:hint="eastAsia" w:ascii="宋体" w:hAnsi="宋体" w:eastAsia="黑体" w:cs="黑体"/>
          <w:kern w:val="2"/>
          <w:sz w:val="32"/>
          <w:szCs w:val="32"/>
          <w:highlight w:val="none"/>
          <w:lang w:val="en-US" w:eastAsia="zh-CN" w:bidi="ar-SA"/>
        </w:rPr>
        <w:t>四、</w:t>
      </w:r>
      <w:r>
        <w:rPr>
          <w:rFonts w:hint="eastAsia" w:ascii="宋体" w:hAnsi="宋体" w:eastAsia="黑体" w:cs="黑体"/>
          <w:sz w:val="32"/>
          <w:szCs w:val="32"/>
          <w:highlight w:val="none"/>
          <w:lang w:val="en-US" w:eastAsia="zh-CN"/>
        </w:rPr>
        <w:t>课题管理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我部对申报材料进行初审</w:t>
      </w:r>
      <w:r>
        <w:rPr>
          <w:rFonts w:hint="default" w:ascii="宋体" w:hAnsi="宋体" w:eastAsia="仿宋_GB2312" w:cs="仿宋_GB2312"/>
          <w:sz w:val="32"/>
          <w:szCs w:val="32"/>
          <w:highlight w:val="none"/>
          <w:lang w:eastAsia="zh-CN"/>
        </w:rPr>
        <w:t>后</w:t>
      </w:r>
      <w:r>
        <w:rPr>
          <w:rFonts w:hint="eastAsia" w:ascii="宋体" w:hAnsi="宋体" w:eastAsia="仿宋_GB2312" w:cs="仿宋_GB2312"/>
          <w:sz w:val="32"/>
          <w:szCs w:val="32"/>
          <w:highlight w:val="none"/>
          <w:lang w:val="en-US" w:eastAsia="zh-CN"/>
        </w:rPr>
        <w:t>，</w:t>
      </w:r>
      <w:r>
        <w:rPr>
          <w:rFonts w:hint="eastAsia" w:ascii="宋体" w:hAnsi="宋体" w:eastAsia="仿宋_GB2312" w:cs="仿宋_GB2312"/>
          <w:sz w:val="32"/>
          <w:szCs w:val="32"/>
          <w:highlight w:val="none"/>
          <w:lang w:eastAsia="zh-CN"/>
        </w:rPr>
        <w:t>组成</w:t>
      </w:r>
      <w:r>
        <w:rPr>
          <w:rFonts w:hint="eastAsia" w:ascii="宋体" w:hAnsi="宋体" w:eastAsia="仿宋_GB2312" w:cs="仿宋_GB2312"/>
          <w:sz w:val="32"/>
          <w:szCs w:val="32"/>
          <w:highlight w:val="none"/>
          <w:lang w:val="en-US" w:eastAsia="zh-CN"/>
        </w:rPr>
        <w:t>专家评审组对通过初审的申报材料进行评审，择优确定</w:t>
      </w:r>
      <w:r>
        <w:rPr>
          <w:rFonts w:hint="default" w:ascii="宋体" w:hAnsi="宋体" w:eastAsia="仿宋_GB2312" w:cs="仿宋_GB2312"/>
          <w:sz w:val="32"/>
          <w:szCs w:val="32"/>
          <w:highlight w:val="none"/>
          <w:lang w:eastAsia="zh-CN"/>
        </w:rPr>
        <w:t>课题</w:t>
      </w:r>
      <w:r>
        <w:rPr>
          <w:rFonts w:hint="eastAsia" w:ascii="宋体" w:hAnsi="宋体" w:eastAsia="仿宋_GB2312" w:cs="仿宋_GB2312"/>
          <w:sz w:val="32"/>
          <w:szCs w:val="32"/>
          <w:highlight w:val="none"/>
          <w:lang w:val="en-US" w:eastAsia="zh-CN"/>
        </w:rPr>
        <w:t>承担机构和课题负责人</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lang w:val="en-US" w:eastAsia="zh-CN"/>
        </w:rPr>
        <w:t>印发立项通知并</w:t>
      </w:r>
      <w:r>
        <w:rPr>
          <w:rFonts w:hint="default" w:ascii="宋体" w:hAnsi="宋体" w:eastAsia="仿宋_GB2312" w:cs="仿宋_GB2312"/>
          <w:sz w:val="32"/>
          <w:szCs w:val="32"/>
          <w:highlight w:val="none"/>
          <w:lang w:eastAsia="zh-CN"/>
        </w:rPr>
        <w:t>组织</w:t>
      </w:r>
      <w:r>
        <w:rPr>
          <w:rFonts w:hint="eastAsia" w:ascii="宋体" w:hAnsi="宋体" w:eastAsia="仿宋_GB2312" w:cs="仿宋_GB2312"/>
          <w:sz w:val="32"/>
          <w:szCs w:val="32"/>
          <w:highlight w:val="none"/>
          <w:lang w:val="en-US" w:eastAsia="zh-CN"/>
        </w:rPr>
        <w:t>签订项目任务书。</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我部对项目实施进行跟踪管理，组织开展中期调度</w:t>
      </w:r>
      <w:r>
        <w:rPr>
          <w:rFonts w:hint="default" w:ascii="宋体" w:hAnsi="宋体" w:eastAsia="仿宋_GB2312" w:cs="仿宋_GB2312"/>
          <w:sz w:val="32"/>
          <w:szCs w:val="32"/>
          <w:highlight w:val="none"/>
          <w:lang w:eastAsia="zh-CN"/>
        </w:rPr>
        <w:t>，必要时对</w:t>
      </w:r>
      <w:r>
        <w:rPr>
          <w:rFonts w:hint="eastAsia" w:ascii="宋体" w:hAnsi="宋体" w:eastAsia="仿宋_GB2312" w:cs="仿宋_GB2312"/>
          <w:sz w:val="32"/>
          <w:szCs w:val="32"/>
          <w:highlight w:val="none"/>
          <w:lang w:val="en-US" w:eastAsia="zh-CN"/>
        </w:rPr>
        <w:t>课题中止、撤销和调整。组成专家评审组对课题研究成果进行验收评审，评审结果以书面方式通知课题承担机构和课题负责人。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“高质量就业服务体系研究”“打造技能生态，促进人才链与产业链融合发展路径研究”“推动企业加强技能人才工作研究”“超龄劳动者权益保障研究”“‘</w:t>
      </w:r>
      <w:r>
        <w:rPr>
          <w:rFonts w:hint="eastAsia" w:ascii="宋体" w:hAnsi="宋体" w:eastAsia="仿宋_GB2312" w:cs="楷体_GB2312"/>
          <w:w w:val="100"/>
          <w:sz w:val="32"/>
          <w:szCs w:val="32"/>
          <w:highlight w:val="none"/>
          <w:lang w:val="en-US" w:eastAsia="zh-CN"/>
        </w:rPr>
        <w:t>十五五</w:t>
      </w:r>
      <w:r>
        <w:rPr>
          <w:rFonts w:hint="eastAsia" w:ascii="宋体" w:hAnsi="宋体" w:eastAsia="仿宋_GB2312" w:cs="仿宋_GB2312"/>
          <w:sz w:val="32"/>
          <w:szCs w:val="32"/>
          <w:highlight w:val="none"/>
          <w:lang w:val="en-US" w:eastAsia="zh-CN"/>
        </w:rPr>
        <w:t>’</w:t>
      </w:r>
      <w:r>
        <w:rPr>
          <w:rFonts w:hint="eastAsia" w:ascii="宋体" w:hAnsi="宋体" w:eastAsia="仿宋_GB2312" w:cs="楷体_GB2312"/>
          <w:w w:val="100"/>
          <w:sz w:val="32"/>
          <w:szCs w:val="32"/>
          <w:highlight w:val="none"/>
          <w:lang w:val="en-US" w:eastAsia="zh-CN"/>
        </w:rPr>
        <w:t>时期人力资源和社会保障事业发展主要机遇挑战及对策研究</w:t>
      </w:r>
      <w:r>
        <w:rPr>
          <w:rFonts w:hint="eastAsia" w:ascii="宋体" w:hAnsi="宋体" w:eastAsia="仿宋_GB2312" w:cs="仿宋_GB2312"/>
          <w:sz w:val="32"/>
          <w:szCs w:val="32"/>
          <w:highlight w:val="none"/>
          <w:lang w:val="en-US" w:eastAsia="zh-CN"/>
        </w:rPr>
        <w:t>”5项课题需在2024年12月底前完成，其余课题计划完成时间均为签订项目任务书一年内，特殊情况需要延期的报我部同意。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宋体" w:hAnsi="宋体" w:eastAsia="仿宋_GB2312" w:cs="仿宋_GB2312"/>
          <w:b w:val="0"/>
          <w:bCs w:val="0"/>
          <w:sz w:val="32"/>
          <w:szCs w:val="32"/>
          <w:highlight w:val="none"/>
          <w:lang w:val="en-US" w:eastAsia="zh-CN"/>
        </w:rPr>
      </w:pPr>
      <w:r>
        <w:rPr>
          <w:rFonts w:hint="eastAsia" w:ascii="宋体" w:hAnsi="宋体" w:eastAsia="黑体" w:cs="黑体"/>
          <w:b w:val="0"/>
          <w:bCs w:val="0"/>
          <w:kern w:val="2"/>
          <w:sz w:val="32"/>
          <w:szCs w:val="32"/>
          <w:highlight w:val="none"/>
          <w:lang w:val="en-US" w:eastAsia="zh-CN" w:bidi="ar-SA"/>
        </w:rPr>
        <w:t>五、</w:t>
      </w:r>
      <w:r>
        <w:rPr>
          <w:rFonts w:hint="eastAsia" w:ascii="宋体" w:hAnsi="宋体" w:eastAsia="黑体" w:cs="黑体"/>
          <w:b w:val="0"/>
          <w:bCs w:val="0"/>
          <w:sz w:val="32"/>
          <w:szCs w:val="32"/>
          <w:highlight w:val="none"/>
          <w:lang w:val="en-US" w:eastAsia="zh-CN"/>
        </w:rPr>
        <w:t>成果要求</w:t>
      </w:r>
    </w:p>
    <w:p>
      <w:pPr>
        <w:keepNext w:val="0"/>
        <w:keepLines w:val="0"/>
        <w:pageBreakBefore w:val="0"/>
        <w:widowControl w:val="0"/>
        <w:numPr>
          <w:ilvl w:val="0"/>
          <w:numId w:val="0"/>
        </w:numPr>
        <w:kinsoku/>
        <w:wordWrap/>
        <w:overflowPunct/>
        <w:topLinePunct w:val="0"/>
        <w:autoSpaceDE/>
        <w:autoSpaceDN/>
        <w:bidi w:val="0"/>
        <w:adjustRightInd/>
        <w:snapToGrid/>
        <w:spacing w:afterLines="0"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kern w:val="2"/>
          <w:sz w:val="32"/>
          <w:szCs w:val="32"/>
          <w:lang w:val="en-US" w:eastAsia="zh-CN" w:bidi="ar-SA"/>
        </w:rPr>
        <w:t>（一）</w:t>
      </w:r>
      <w:r>
        <w:rPr>
          <w:rFonts w:hint="eastAsia" w:ascii="宋体" w:hAnsi="宋体" w:eastAsia="仿宋_GB2312" w:cs="仿宋_GB2312"/>
          <w:sz w:val="32"/>
          <w:szCs w:val="32"/>
          <w:highlight w:val="none"/>
          <w:lang w:val="en-US" w:eastAsia="zh-CN"/>
        </w:rPr>
        <w:t>课题最终成果为不少于2万字的研究报告，要求政治立场明确，主题鲜明，论点突出，论述有据，坚持理论联系实际，体现理论价值和实践指导意义；坚持问题导向，研究实际问题，提出合理建议。</w:t>
      </w:r>
    </w:p>
    <w:p>
      <w:pPr>
        <w:keepNext w:val="0"/>
        <w:keepLines w:val="0"/>
        <w:pageBreakBefore w:val="0"/>
        <w:widowControl w:val="0"/>
        <w:numPr>
          <w:ilvl w:val="0"/>
          <w:numId w:val="0"/>
        </w:numPr>
        <w:kinsoku/>
        <w:wordWrap/>
        <w:overflowPunct/>
        <w:topLinePunct w:val="0"/>
        <w:autoSpaceDE/>
        <w:autoSpaceDN/>
        <w:bidi w:val="0"/>
        <w:adjustRightInd/>
        <w:snapToGrid/>
        <w:spacing w:afterLines="0"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kern w:val="2"/>
          <w:sz w:val="32"/>
          <w:szCs w:val="32"/>
          <w:lang w:val="en-US" w:eastAsia="zh-CN" w:bidi="ar-SA"/>
        </w:rPr>
        <w:t>（二）</w:t>
      </w:r>
      <w:r>
        <w:rPr>
          <w:rFonts w:hint="eastAsia" w:ascii="宋体" w:hAnsi="宋体" w:eastAsia="仿宋_GB2312" w:cs="仿宋_GB2312"/>
          <w:sz w:val="32"/>
          <w:szCs w:val="32"/>
          <w:highlight w:val="none"/>
          <w:lang w:val="en-US" w:eastAsia="zh-CN"/>
        </w:rPr>
        <w:t>课题研究成果如公开发表、出版、报送等，需征得我部同意，并在显著位置标注“人力资源社会保障部重大课题”字样。</w:t>
      </w:r>
    </w:p>
    <w:p>
      <w:pPr>
        <w:pStyle w:val="2"/>
        <w:keepNext w:val="0"/>
        <w:keepLines w:val="0"/>
        <w:pageBreakBefore w:val="0"/>
        <w:kinsoku/>
        <w:wordWrap/>
        <w:overflowPunct/>
        <w:topLinePunct w:val="0"/>
        <w:autoSpaceDE/>
        <w:autoSpaceDN/>
        <w:bidi w:val="0"/>
        <w:adjustRightInd/>
        <w:spacing w:after="0" w:afterLines="0" w:line="600" w:lineRule="exact"/>
        <w:ind w:left="0" w:leftChars="0" w:firstLine="640"/>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（三）除专门约定外，我部拥有课题研究成果的处置权。</w:t>
      </w:r>
    </w:p>
    <w:p>
      <w:pPr>
        <w:keepNext w:val="0"/>
        <w:keepLines w:val="0"/>
        <w:pageBreakBefore w:val="0"/>
        <w:widowControl w:val="0"/>
        <w:numPr>
          <w:ilvl w:val="0"/>
          <w:numId w:val="0"/>
        </w:numPr>
        <w:kinsoku/>
        <w:wordWrap/>
        <w:overflowPunct/>
        <w:topLinePunct w:val="0"/>
        <w:autoSpaceDE/>
        <w:autoSpaceDN/>
        <w:bidi w:val="0"/>
        <w:adjustRightInd/>
        <w:snapToGrid/>
        <w:spacing w:afterLines="0" w:line="600" w:lineRule="exact"/>
        <w:ind w:left="0" w:leftChars="0" w:firstLine="640" w:firstLineChars="200"/>
        <w:textAlignment w:val="auto"/>
        <w:rPr>
          <w:rFonts w:hint="eastAsia" w:ascii="宋体" w:hAnsi="宋体" w:eastAsia="黑体" w:cs="黑体"/>
          <w:sz w:val="32"/>
          <w:szCs w:val="32"/>
          <w:highlight w:val="none"/>
          <w:lang w:val="en-US" w:eastAsia="zh-CN"/>
        </w:rPr>
      </w:pPr>
      <w:r>
        <w:rPr>
          <w:rFonts w:hint="eastAsia" w:ascii="宋体" w:hAnsi="宋体" w:eastAsia="黑体" w:cs="黑体"/>
          <w:sz w:val="32"/>
          <w:szCs w:val="32"/>
          <w:highlight w:val="none"/>
          <w:lang w:val="en-US" w:eastAsia="zh-CN"/>
        </w:rPr>
        <w:t>六、经费管理</w:t>
      </w:r>
    </w:p>
    <w:p>
      <w:pPr>
        <w:keepNext w:val="0"/>
        <w:keepLines w:val="0"/>
        <w:pageBreakBefore w:val="0"/>
        <w:widowControl w:val="0"/>
        <w:numPr>
          <w:ilvl w:val="0"/>
          <w:numId w:val="0"/>
        </w:numPr>
        <w:kinsoku/>
        <w:wordWrap/>
        <w:overflowPunct/>
        <w:topLinePunct w:val="0"/>
        <w:autoSpaceDE/>
        <w:autoSpaceDN/>
        <w:bidi w:val="0"/>
        <w:adjustRightInd/>
        <w:snapToGrid/>
        <w:spacing w:afterLines="0" w:line="600" w:lineRule="exact"/>
        <w:ind w:left="0" w:leftChars="0" w:firstLine="640" w:firstLineChars="200"/>
        <w:textAlignment w:val="auto"/>
        <w:rPr>
          <w:rFonts w:hint="default" w:ascii="宋体" w:hAnsi="宋体" w:eastAsia="仿宋_GB2312" w:cs="仿宋_GB2312"/>
          <w:sz w:val="32"/>
          <w:szCs w:val="32"/>
          <w:highlight w:val="none"/>
          <w:lang w:val="en-US" w:eastAsia="zh-CN"/>
        </w:rPr>
      </w:pPr>
      <w:r>
        <w:rPr>
          <w:rFonts w:hint="eastAsia" w:ascii="宋体" w:hAnsi="宋体" w:eastAsia="仿宋_GB2312" w:cs="仿宋_GB2312"/>
          <w:kern w:val="2"/>
          <w:sz w:val="32"/>
          <w:szCs w:val="32"/>
          <w:lang w:val="en-US" w:eastAsia="zh-CN" w:bidi="ar-SA"/>
        </w:rPr>
        <w:t>（一）</w:t>
      </w:r>
      <w:r>
        <w:rPr>
          <w:rFonts w:hint="eastAsia" w:ascii="宋体" w:hAnsi="宋体" w:eastAsia="仿宋_GB2312" w:cs="仿宋_GB2312"/>
          <w:sz w:val="32"/>
          <w:szCs w:val="32"/>
          <w:highlight w:val="none"/>
          <w:lang w:val="en-US" w:eastAsia="zh-CN"/>
        </w:rPr>
        <w:t>我部对课题提供经费支持，每项课题不超过20万元，分两次拨付至课题承担机构银行账户，签订项目任务书后拨付70%，课题通过结项验收后拨付30%。各承担机构应积极配套资金支持课题研究。</w:t>
      </w:r>
    </w:p>
    <w:p>
      <w:pPr>
        <w:pStyle w:val="2"/>
        <w:keepNext w:val="0"/>
        <w:keepLines w:val="0"/>
        <w:pageBreakBefore w:val="0"/>
        <w:kinsoku/>
        <w:wordWrap/>
        <w:overflowPunct/>
        <w:topLinePunct w:val="0"/>
        <w:autoSpaceDE/>
        <w:autoSpaceDN/>
        <w:bidi w:val="0"/>
        <w:adjustRightInd/>
        <w:spacing w:after="0" w:afterLines="0" w:line="600" w:lineRule="exact"/>
        <w:ind w:left="0" w:leftChars="0" w:firstLine="640" w:firstLineChars="2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kern w:val="2"/>
          <w:sz w:val="32"/>
          <w:szCs w:val="32"/>
          <w:lang w:val="en-US" w:eastAsia="zh-CN" w:bidi="ar-SA"/>
        </w:rPr>
        <w:t>（二）</w:t>
      </w:r>
      <w:r>
        <w:rPr>
          <w:rFonts w:hint="eastAsia" w:ascii="宋体" w:hAnsi="宋体" w:eastAsia="仿宋_GB2312" w:cs="仿宋_GB2312"/>
          <w:sz w:val="32"/>
          <w:szCs w:val="32"/>
          <w:highlight w:val="none"/>
          <w:lang w:val="en-US" w:eastAsia="zh-CN"/>
        </w:rPr>
        <w:t>课题承担机构负责经费使用的监督管理，课题负责人应严格按有关规定使用经费，自觉接受有关部门的监督检查，并对课题经费使用的真实性、合法性和有效性负责。</w:t>
      </w:r>
    </w:p>
    <w:p>
      <w:pPr>
        <w:pStyle w:val="2"/>
        <w:keepNext w:val="0"/>
        <w:keepLines w:val="0"/>
        <w:pageBreakBefore w:val="0"/>
        <w:kinsoku/>
        <w:wordWrap/>
        <w:overflowPunct/>
        <w:topLinePunct w:val="0"/>
        <w:autoSpaceDE/>
        <w:autoSpaceDN/>
        <w:bidi w:val="0"/>
        <w:adjustRightInd/>
        <w:spacing w:after="0" w:afterLines="0" w:line="600" w:lineRule="exact"/>
        <w:ind w:left="0" w:leftChars="0" w:firstLine="640" w:firstLineChars="200"/>
        <w:textAlignment w:val="auto"/>
        <w:rPr>
          <w:rFonts w:hint="eastAsia" w:ascii="宋体" w:hAnsi="宋体" w:eastAsia="黑体" w:cs="黑体"/>
          <w:kern w:val="2"/>
          <w:sz w:val="32"/>
          <w:szCs w:val="32"/>
          <w:highlight w:val="none"/>
          <w:lang w:val="en-US" w:eastAsia="zh-CN" w:bidi="ar-SA"/>
        </w:rPr>
      </w:pPr>
      <w:r>
        <w:rPr>
          <w:rFonts w:hint="eastAsia" w:ascii="宋体" w:hAnsi="宋体" w:eastAsia="黑体" w:cs="黑体"/>
          <w:kern w:val="2"/>
          <w:sz w:val="32"/>
          <w:szCs w:val="32"/>
          <w:highlight w:val="none"/>
          <w:lang w:val="en-US" w:eastAsia="zh-CN" w:bidi="ar-SA"/>
        </w:rPr>
        <w:t>七、联系方式</w:t>
      </w:r>
    </w:p>
    <w:p>
      <w:pPr>
        <w:pStyle w:val="2"/>
        <w:spacing w:after="0" w:afterLines="0" w:line="600" w:lineRule="exact"/>
        <w:ind w:firstLine="640"/>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 xml:space="preserve">联 系 人：康婷婷 徐俊杰 赵智磊     </w:t>
      </w:r>
    </w:p>
    <w:p>
      <w:pPr>
        <w:pStyle w:val="2"/>
        <w:spacing w:after="0" w:afterLines="0" w:line="600" w:lineRule="exact"/>
        <w:ind w:firstLine="640"/>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联系电话：010-84233602 84233674</w:t>
      </w:r>
    </w:p>
    <w:p>
      <w:pPr>
        <w:keepNext w:val="0"/>
        <w:keepLines w:val="0"/>
        <w:pageBreakBefore w:val="0"/>
        <w:widowControl w:val="0"/>
        <w:numPr>
          <w:ilvl w:val="0"/>
          <w:numId w:val="0"/>
        </w:numPr>
        <w:kinsoku/>
        <w:wordWrap/>
        <w:overflowPunct/>
        <w:topLinePunct w:val="0"/>
        <w:autoSpaceDE/>
        <w:autoSpaceDN/>
        <w:bidi w:val="0"/>
        <w:adjustRightInd/>
        <w:snapToGrid/>
        <w:spacing w:afterLines="0" w:line="600" w:lineRule="exact"/>
        <w:ind w:left="1600" w:leftChars="0" w:hanging="1600" w:hangingChars="5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 xml:space="preserve">    联系地址：北京市东城区和平里东街3号人力资源社会    </w:t>
      </w:r>
    </w:p>
    <w:p>
      <w:pPr>
        <w:keepNext w:val="0"/>
        <w:keepLines w:val="0"/>
        <w:pageBreakBefore w:val="0"/>
        <w:widowControl w:val="0"/>
        <w:numPr>
          <w:ilvl w:val="0"/>
          <w:numId w:val="0"/>
        </w:numPr>
        <w:kinsoku/>
        <w:wordWrap/>
        <w:overflowPunct/>
        <w:topLinePunct w:val="0"/>
        <w:autoSpaceDE/>
        <w:autoSpaceDN/>
        <w:bidi w:val="0"/>
        <w:adjustRightInd/>
        <w:snapToGrid/>
        <w:spacing w:afterLines="0" w:line="600" w:lineRule="exact"/>
        <w:ind w:left="1600" w:leftChars="0" w:hanging="1600" w:hangingChars="500"/>
        <w:textAlignment w:val="auto"/>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 xml:space="preserve">             保障部规划财务司科技和审计处</w:t>
      </w:r>
    </w:p>
    <w:p>
      <w:pPr>
        <w:pStyle w:val="2"/>
        <w:spacing w:afterLines="0" w:line="600" w:lineRule="exact"/>
        <w:ind w:firstLine="640" w:firstLineChars="200"/>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 xml:space="preserve">电子邮箱：zdkt2024@163.com        </w:t>
      </w:r>
    </w:p>
    <w:p>
      <w:pPr>
        <w:pStyle w:val="2"/>
        <w:spacing w:afterLines="0" w:line="600" w:lineRule="exact"/>
        <w:ind w:firstLine="640" w:firstLineChars="200"/>
        <w:rPr>
          <w:rFonts w:hint="eastAsia" w:ascii="宋体" w:hAnsi="宋体" w:eastAsia="仿宋_GB2312" w:cs="仿宋_GB2312"/>
          <w:sz w:val="32"/>
          <w:szCs w:val="32"/>
          <w:highlight w:val="none"/>
          <w:lang w:val="en-US" w:eastAsia="zh-CN"/>
        </w:rPr>
      </w:pPr>
      <w:r>
        <w:rPr>
          <w:rFonts w:hint="eastAsia" w:ascii="宋体" w:hAnsi="宋体" w:eastAsia="仿宋_GB2312" w:cs="仿宋_GB2312"/>
          <w:sz w:val="32"/>
          <w:szCs w:val="32"/>
          <w:highlight w:val="none"/>
          <w:lang w:val="en-US" w:eastAsia="zh-CN"/>
        </w:rPr>
        <w:t>邮    编：100013</w:t>
      </w:r>
    </w:p>
    <w:p>
      <w:pPr>
        <w:keepNext w:val="0"/>
        <w:keepLines w:val="0"/>
        <w:pageBreakBefore w:val="0"/>
        <w:kinsoku/>
        <w:overflowPunct/>
        <w:topLinePunct w:val="0"/>
        <w:autoSpaceDE/>
        <w:autoSpaceDN/>
        <w:bidi w:val="0"/>
        <w:adjustRightInd/>
        <w:spacing w:line="600" w:lineRule="exact"/>
        <w:textAlignment w:val="auto"/>
        <w:rPr>
          <w:rFonts w:hint="eastAsia" w:ascii="黑体" w:hAnsi="黑体" w:eastAsia="黑体" w:cs="黑体"/>
          <w:sz w:val="32"/>
          <w:szCs w:val="32"/>
          <w:highlight w:val="none"/>
          <w:lang w:val="en-US" w:eastAsia="zh-CN"/>
        </w:rPr>
      </w:pPr>
    </w:p>
    <w:p>
      <w:pPr>
        <w:keepNext w:val="0"/>
        <w:keepLines w:val="0"/>
        <w:pageBreakBefore w:val="0"/>
        <w:kinsoku/>
        <w:overflowPunct/>
        <w:topLinePunct w:val="0"/>
        <w:autoSpaceDE/>
        <w:autoSpaceDN/>
        <w:bidi w:val="0"/>
        <w:adjustRightInd/>
        <w:spacing w:line="600" w:lineRule="exact"/>
        <w:textAlignment w:val="auto"/>
        <w:rPr>
          <w:rFonts w:hint="eastAsia" w:ascii="黑体" w:hAnsi="黑体" w:eastAsia="黑体" w:cs="黑体"/>
          <w:sz w:val="32"/>
          <w:szCs w:val="32"/>
          <w:highlight w:val="none"/>
          <w:lang w:val="en-US" w:eastAsia="zh-CN"/>
        </w:rPr>
      </w:pPr>
    </w:p>
    <w:p>
      <w:pPr>
        <w:pStyle w:val="2"/>
        <w:rPr>
          <w:rFonts w:hint="eastAsia" w:ascii="宋体" w:hAnsi="宋体" w:eastAsia="宋体"/>
          <w:lang w:eastAsia="zh-CN"/>
        </w:rPr>
      </w:pPr>
    </w:p>
    <w:p>
      <w:pPr>
        <w:pStyle w:val="2"/>
        <w:rPr>
          <w:rFonts w:hint="eastAsia" w:ascii="宋体" w:hAnsi="宋体" w:eastAsia="宋体"/>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12794"/>
    <w:multiLevelType w:val="singleLevel"/>
    <w:tmpl w:val="83212794"/>
    <w:lvl w:ilvl="0" w:tentative="0">
      <w:start w:val="1"/>
      <w:numFmt w:val="chineseCounting"/>
      <w:suff w:val="nothing"/>
      <w:lvlText w:val="（%1）"/>
      <w:lvlJc w:val="left"/>
      <w:rPr>
        <w:rFonts w:hint="eastAsia"/>
      </w:rPr>
    </w:lvl>
  </w:abstractNum>
  <w:abstractNum w:abstractNumId="1">
    <w:nsid w:val="EDFE34A5"/>
    <w:multiLevelType w:val="singleLevel"/>
    <w:tmpl w:val="EDFE34A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YTQ3ZDMxMTc0MGE3Mjc2ZjYzMjYyODcwZTAwMTAifQ=="/>
  </w:docVars>
  <w:rsids>
    <w:rsidRoot w:val="533C5857"/>
    <w:rsid w:val="057600E5"/>
    <w:rsid w:val="07EA70C4"/>
    <w:rsid w:val="0DCC7679"/>
    <w:rsid w:val="1B97024D"/>
    <w:rsid w:val="1E7672D4"/>
    <w:rsid w:val="1FB7E3DE"/>
    <w:rsid w:val="1FDF13AD"/>
    <w:rsid w:val="22EB7312"/>
    <w:rsid w:val="2CEFD0C1"/>
    <w:rsid w:val="2FFB483D"/>
    <w:rsid w:val="34517AE6"/>
    <w:rsid w:val="34620179"/>
    <w:rsid w:val="35DEC63E"/>
    <w:rsid w:val="38FE3FF5"/>
    <w:rsid w:val="3D5D4B11"/>
    <w:rsid w:val="3D772A30"/>
    <w:rsid w:val="4F2B4499"/>
    <w:rsid w:val="4FAC4115"/>
    <w:rsid w:val="552B8A32"/>
    <w:rsid w:val="55391545"/>
    <w:rsid w:val="55DF8E59"/>
    <w:rsid w:val="55FF78AB"/>
    <w:rsid w:val="56F35389"/>
    <w:rsid w:val="56FF9FF4"/>
    <w:rsid w:val="579D4C0A"/>
    <w:rsid w:val="57AED1FD"/>
    <w:rsid w:val="57FAE21A"/>
    <w:rsid w:val="5B2F1E2A"/>
    <w:rsid w:val="5BCE8790"/>
    <w:rsid w:val="5BF7A945"/>
    <w:rsid w:val="5EF6C032"/>
    <w:rsid w:val="5F2F298B"/>
    <w:rsid w:val="5F9F9097"/>
    <w:rsid w:val="5FAA3805"/>
    <w:rsid w:val="5FFFE92D"/>
    <w:rsid w:val="62EBC77E"/>
    <w:rsid w:val="637B8D7C"/>
    <w:rsid w:val="677516A0"/>
    <w:rsid w:val="6AAF5ABA"/>
    <w:rsid w:val="6AFFD132"/>
    <w:rsid w:val="6CB7B8F0"/>
    <w:rsid w:val="6F2DF126"/>
    <w:rsid w:val="6F7FBFE0"/>
    <w:rsid w:val="6FBE2B19"/>
    <w:rsid w:val="6FCF6995"/>
    <w:rsid w:val="6FDF3291"/>
    <w:rsid w:val="6FF52093"/>
    <w:rsid w:val="747420CC"/>
    <w:rsid w:val="7593CD7F"/>
    <w:rsid w:val="75FD889D"/>
    <w:rsid w:val="75FEB337"/>
    <w:rsid w:val="763EDBA1"/>
    <w:rsid w:val="77F9EE2A"/>
    <w:rsid w:val="77FE0B53"/>
    <w:rsid w:val="77FEA03B"/>
    <w:rsid w:val="795816BE"/>
    <w:rsid w:val="79CA6BC8"/>
    <w:rsid w:val="7ADDCB72"/>
    <w:rsid w:val="7AFB876C"/>
    <w:rsid w:val="7B5D8295"/>
    <w:rsid w:val="7BBACE04"/>
    <w:rsid w:val="7BBEFC79"/>
    <w:rsid w:val="7BEC475A"/>
    <w:rsid w:val="7BF783C1"/>
    <w:rsid w:val="7BFE97B2"/>
    <w:rsid w:val="7C7FADA0"/>
    <w:rsid w:val="7CEE3ADD"/>
    <w:rsid w:val="7D7F8EA7"/>
    <w:rsid w:val="7DF50A36"/>
    <w:rsid w:val="7E739C7C"/>
    <w:rsid w:val="7E7B87FA"/>
    <w:rsid w:val="7E7F103A"/>
    <w:rsid w:val="7EEFC8E4"/>
    <w:rsid w:val="7EFD3A14"/>
    <w:rsid w:val="7F379A38"/>
    <w:rsid w:val="7F77B0BE"/>
    <w:rsid w:val="7F7FBF1F"/>
    <w:rsid w:val="7F8D9DCE"/>
    <w:rsid w:val="7FD77366"/>
    <w:rsid w:val="7FD7CF82"/>
    <w:rsid w:val="7FD9F43F"/>
    <w:rsid w:val="7FDFD93F"/>
    <w:rsid w:val="7FE7074E"/>
    <w:rsid w:val="7FED95D7"/>
    <w:rsid w:val="7FF261D9"/>
    <w:rsid w:val="7FF794AD"/>
    <w:rsid w:val="7FFAF93A"/>
    <w:rsid w:val="7FFEE4DD"/>
    <w:rsid w:val="7FFF62D5"/>
    <w:rsid w:val="81FE7CE6"/>
    <w:rsid w:val="9FFD39C3"/>
    <w:rsid w:val="9FFF1F41"/>
    <w:rsid w:val="A27FC6CF"/>
    <w:rsid w:val="A7DF1EF1"/>
    <w:rsid w:val="ABBCC86D"/>
    <w:rsid w:val="B3BD7776"/>
    <w:rsid w:val="B5EFFCD0"/>
    <w:rsid w:val="B61F5A6B"/>
    <w:rsid w:val="B9FFE0C5"/>
    <w:rsid w:val="BA7F6EED"/>
    <w:rsid w:val="BBA7D882"/>
    <w:rsid w:val="BBBDFF4D"/>
    <w:rsid w:val="BBDC4B72"/>
    <w:rsid w:val="BBFF3B3E"/>
    <w:rsid w:val="BF7D9B5E"/>
    <w:rsid w:val="BFFD2B56"/>
    <w:rsid w:val="C6DB1D01"/>
    <w:rsid w:val="CD7FFE00"/>
    <w:rsid w:val="D27F06C6"/>
    <w:rsid w:val="D2CADA2C"/>
    <w:rsid w:val="D4AB4BDC"/>
    <w:rsid w:val="D5FFE6A4"/>
    <w:rsid w:val="D777F279"/>
    <w:rsid w:val="D7D7A0DB"/>
    <w:rsid w:val="D7FA6FC7"/>
    <w:rsid w:val="DE4D0063"/>
    <w:rsid w:val="DF4F92A2"/>
    <w:rsid w:val="DF6F4940"/>
    <w:rsid w:val="DF77854B"/>
    <w:rsid w:val="DFEF1DB2"/>
    <w:rsid w:val="DFF56D10"/>
    <w:rsid w:val="DFFE188A"/>
    <w:rsid w:val="E2B8FF8E"/>
    <w:rsid w:val="E56FFD98"/>
    <w:rsid w:val="E5F5F858"/>
    <w:rsid w:val="E7C5901B"/>
    <w:rsid w:val="E9EB789D"/>
    <w:rsid w:val="EAFA3B77"/>
    <w:rsid w:val="EAFBD562"/>
    <w:rsid w:val="EBEE4F88"/>
    <w:rsid w:val="EF8704AD"/>
    <w:rsid w:val="F26F5B41"/>
    <w:rsid w:val="F3A8860D"/>
    <w:rsid w:val="F3FDD8C7"/>
    <w:rsid w:val="F77BCEBA"/>
    <w:rsid w:val="F79EE407"/>
    <w:rsid w:val="F7EF9F2B"/>
    <w:rsid w:val="F7F3BBEE"/>
    <w:rsid w:val="F7FE61BA"/>
    <w:rsid w:val="FB7BDB9A"/>
    <w:rsid w:val="FBDB5E93"/>
    <w:rsid w:val="FBF3F661"/>
    <w:rsid w:val="FBF7B9D6"/>
    <w:rsid w:val="FBFFB92C"/>
    <w:rsid w:val="FCFD156A"/>
    <w:rsid w:val="FDAF3AF1"/>
    <w:rsid w:val="FE77C5EF"/>
    <w:rsid w:val="FE9F78F3"/>
    <w:rsid w:val="FEC16031"/>
    <w:rsid w:val="FED79B1C"/>
    <w:rsid w:val="FEFB89BD"/>
    <w:rsid w:val="FF3FC252"/>
    <w:rsid w:val="FF5F5A75"/>
    <w:rsid w:val="FF7EADCB"/>
    <w:rsid w:val="FF9BE614"/>
    <w:rsid w:val="FFA7D454"/>
    <w:rsid w:val="FFC4C976"/>
    <w:rsid w:val="FFD86AB9"/>
    <w:rsid w:val="FFEF3579"/>
    <w:rsid w:val="FFFBA8FA"/>
    <w:rsid w:val="FFFE07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next w:val="3"/>
    <w:unhideWhenUsed/>
    <w:qFormat/>
    <w:uiPriority w:val="0"/>
    <w:pPr>
      <w:spacing w:after="120" w:afterLines="0"/>
    </w:pPr>
  </w:style>
  <w:style w:type="paragraph" w:styleId="3">
    <w:name w:val="footer"/>
    <w:basedOn w:val="1"/>
    <w:next w:val="4"/>
    <w:uiPriority w:val="0"/>
    <w:pPr>
      <w:tabs>
        <w:tab w:val="center" w:pos="4153"/>
        <w:tab w:val="right" w:pos="8306"/>
      </w:tabs>
      <w:snapToGrid w:val="0"/>
      <w:jc w:val="left"/>
    </w:pPr>
    <w:rPr>
      <w:sz w:val="18"/>
    </w:rPr>
  </w:style>
  <w:style w:type="paragraph" w:styleId="4">
    <w:name w:val="index 5"/>
    <w:basedOn w:val="1"/>
    <w:next w:val="1"/>
    <w:qFormat/>
    <w:uiPriority w:val="0"/>
    <w:pPr>
      <w:ind w:left="1680"/>
    </w:p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Normal Indent1"/>
    <w:basedOn w:val="1"/>
    <w:qFormat/>
    <w:uiPriority w:val="0"/>
    <w:pPr>
      <w:spacing w:line="660" w:lineRule="exact"/>
      <w:ind w:firstLine="720" w:firstLineChars="200"/>
    </w:pPr>
    <w:rPr>
      <w:rFonts w:eastAsia="楷体_GB2312"/>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2024-03-28T01:49:00Z</dcterms:created>
  <dc:creator>yuanyz</dc:creator>
  <cp:lastModifiedBy>admin</cp:lastModifiedBy>
  <cp:lastPrinted>2024-04-01T23:58:24Z</cp:lastPrinted>
  <dcterms:modified xsi:type="dcterms:W3CDTF">2024-04-15T14:48:55Z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BCC86B7925D74E5CB40373654C158979_12</vt:lpwstr>
  </property>
</Properties>
</file>