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292" w:afterLines="50" w:line="520" w:lineRule="exact"/>
        <w:ind w:left="0" w:leftChars="0" w:right="0" w:rightChars="0" w:firstLine="0" w:firstLineChars="0"/>
        <w:jc w:val="left"/>
        <w:textAlignment w:val="auto"/>
        <w:outlineLvl w:val="9"/>
        <w:rPr>
          <w:rFonts w:hint="eastAsia" w:ascii="方正仿宋_GBK" w:hAnsi="方正仿宋_GBK" w:eastAsia="方正仿宋_GBK" w:cs="方正仿宋_GBK"/>
          <w:sz w:val="28"/>
          <w:szCs w:val="28"/>
          <w:lang w:val="en-US" w:eastAsia="zh-CN"/>
        </w:rPr>
      </w:pPr>
      <w:bookmarkStart w:id="0" w:name="quanwen"/>
      <w:r>
        <w:rPr>
          <w:rFonts w:hint="eastAsia" w:ascii="方正仿宋_GBK" w:hAnsi="方正仿宋_GBK" w:eastAsia="方正仿宋_GBK" w:cs="方正仿宋_GBK"/>
          <w:sz w:val="28"/>
          <w:szCs w:val="28"/>
          <w:lang w:eastAsia="zh-CN"/>
        </w:rPr>
        <w:t>附件</w:t>
      </w:r>
      <w:r>
        <w:rPr>
          <w:rFonts w:hint="eastAsia" w:ascii="方正仿宋_GBK" w:hAnsi="方正仿宋_GBK" w:eastAsia="方正仿宋_GBK" w:cs="方正仿宋_GBK"/>
          <w:sz w:val="28"/>
          <w:szCs w:val="28"/>
          <w:lang w:val="en-US" w:eastAsia="zh-CN"/>
        </w:rPr>
        <w:t>1：</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center"/>
        <w:textAlignment w:val="auto"/>
        <w:outlineLvl w:val="9"/>
        <w:rPr>
          <w:rFonts w:ascii="方正小标宋_GBK" w:eastAsia="方正小标宋_GBK" w:cs="Arial"/>
          <w:sz w:val="44"/>
          <w:szCs w:val="44"/>
        </w:rPr>
      </w:pPr>
      <w:r>
        <w:rPr>
          <w:rFonts w:hint="eastAsia" w:ascii="方正小标宋_GBK" w:eastAsia="方正小标宋_GBK" w:cs="方正小标宋_GBK"/>
          <w:sz w:val="44"/>
          <w:szCs w:val="44"/>
        </w:rPr>
        <w:t>合肥综合性国家科学中心重点支持方向</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ascii="方正仿宋_GBK" w:hAnsi="仿宋" w:cs="Arial"/>
          <w:color w:val="000000"/>
          <w:kern w:val="0"/>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eastAsia" w:ascii="黑体" w:hAnsi="黑体" w:eastAsia="黑体" w:cs="Arial"/>
          <w:color w:val="000000"/>
          <w:szCs w:val="32"/>
          <w:shd w:val="clear" w:color="auto" w:fill="FFFFFF"/>
        </w:rPr>
      </w:pPr>
      <w:r>
        <w:rPr>
          <w:rFonts w:hint="eastAsia" w:ascii="黑体" w:hAnsi="黑体" w:eastAsia="黑体" w:cs="黑体"/>
          <w:color w:val="000000"/>
          <w:kern w:val="0"/>
          <w:szCs w:val="32"/>
          <w:lang w:eastAsia="zh-CN"/>
        </w:rPr>
        <w:t>一</w:t>
      </w:r>
      <w:r>
        <w:rPr>
          <w:rFonts w:hint="eastAsia" w:ascii="黑体" w:hAnsi="黑体" w:eastAsia="黑体" w:cs="黑体"/>
          <w:color w:val="000000"/>
          <w:kern w:val="0"/>
          <w:szCs w:val="32"/>
        </w:rPr>
        <w:t>、</w:t>
      </w:r>
      <w:r>
        <w:rPr>
          <w:rFonts w:hint="eastAsia" w:ascii="黑体" w:hAnsi="黑体" w:eastAsia="黑体" w:cs="黑体"/>
          <w:color w:val="000000"/>
          <w:kern w:val="0"/>
          <w:szCs w:val="32"/>
          <w:lang w:eastAsia="zh-CN"/>
        </w:rPr>
        <w:t>人工智能领域</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1.类脑智能</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脑数据方面：脑影像数据的高效存储和管理；多模态脑影像数据的融合与配准；全脑神经元结构图谱构建；神经元结构分类和功能分析；大规模神经环路信息传递可视化；</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脑功能方面：脑联结图谱；高级认知功能；感觉信号处理；脑研究的新技术</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2.计算智能</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机器理论学习：深度学习的误差理论；强化学习与最优控制；自主性机器学习</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人工智能算法：智能语音处理；智能视觉处理；智能自然语言处理；多模态感知与决策</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3.智能芯片</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类脑模拟、新型智能计算、植入式感知芯片、脑机接口等</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4.智能计算系统与软件</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面向人工智能应用的大规模存储与分布式计算系统、软硬件协同的多源异构系统、智能计算基础框架与软件工程工具，以及深度神经网络的性能建模与系统优化等</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5.智能机器人</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智能机器人基础理论和方法；智能运动辅助机器人、无人驾驶车辆、智能灵巧作业机器人、仿生机器人、特种机器人等。</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6. 人工智能安全基础理论和方法</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安全多方计算、同态加密、差分隐私等人工智能安全理论；软硬件协同融合的安全人工智能基础框架；人工智能模型的安全隐私方法。</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lang w:val="en-US" w:eastAsia="zh-CN"/>
        </w:rPr>
      </w:pPr>
      <w:r>
        <w:rPr>
          <w:rFonts w:hint="eastAsia" w:ascii="方正仿宋_GBK" w:hAnsi="仿宋" w:cs="方正仿宋_GBK"/>
          <w:color w:val="000000"/>
          <w:sz w:val="32"/>
          <w:szCs w:val="32"/>
          <w:shd w:val="clear" w:color="auto" w:fill="FFFFFF"/>
          <w:lang w:val="en-US" w:eastAsia="zh-CN"/>
        </w:rPr>
        <w:t>7.其他人工智能领域科学研究</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ascii="黑体" w:hAnsi="黑体" w:eastAsia="黑体" w:cs="Arial"/>
          <w:color w:val="000000"/>
          <w:kern w:val="0"/>
          <w:szCs w:val="32"/>
        </w:rPr>
      </w:pPr>
      <w:r>
        <w:rPr>
          <w:rFonts w:hint="eastAsia" w:ascii="黑体" w:hAnsi="黑体" w:eastAsia="黑体" w:cs="黑体"/>
          <w:color w:val="000000"/>
          <w:kern w:val="0"/>
          <w:szCs w:val="32"/>
          <w:lang w:eastAsia="zh-CN"/>
        </w:rPr>
        <w:t>二</w:t>
      </w:r>
      <w:r>
        <w:rPr>
          <w:rFonts w:hint="eastAsia" w:ascii="黑体" w:hAnsi="黑体" w:eastAsia="黑体" w:cs="黑体"/>
          <w:color w:val="000000"/>
          <w:kern w:val="0"/>
          <w:szCs w:val="32"/>
        </w:rPr>
        <w:t>、</w:t>
      </w:r>
      <w:r>
        <w:rPr>
          <w:rFonts w:hint="eastAsia" w:ascii="黑体" w:hAnsi="黑体" w:eastAsia="黑体" w:cs="黑体"/>
          <w:color w:val="000000"/>
          <w:kern w:val="0"/>
          <w:szCs w:val="32"/>
          <w:lang w:eastAsia="zh-CN"/>
        </w:rPr>
        <w:t>能源领域</w:t>
      </w:r>
    </w:p>
    <w:p>
      <w:pPr>
        <w:pStyle w:val="2"/>
        <w:keepNext w:val="0"/>
        <w:keepLines w:val="0"/>
        <w:pageBreakBefore w:val="0"/>
        <w:widowControl w:val="0"/>
        <w:kinsoku/>
        <w:wordWrap w:val="0"/>
        <w:overflowPunct/>
        <w:topLinePunct w:val="0"/>
        <w:autoSpaceDE/>
        <w:autoSpaceDN/>
        <w:bidi w:val="0"/>
        <w:adjustRightInd w:val="0"/>
        <w:snapToGrid w:val="0"/>
        <w:spacing w:after="0" w:afterLines="0" w:line="580" w:lineRule="exact"/>
        <w:ind w:left="0" w:leftChars="0" w:right="0" w:rightChars="0" w:firstLine="631" w:firstLineChars="0"/>
        <w:jc w:val="both"/>
        <w:textAlignment w:val="auto"/>
        <w:outlineLvl w:val="9"/>
        <w:rPr>
          <w:rFonts w:hint="eastAsia" w:ascii="方正仿宋_GBK" w:hAnsi="仿宋" w:cs="方正仿宋_GBK"/>
          <w:color w:val="000000"/>
          <w:kern w:val="0"/>
          <w:szCs w:val="32"/>
        </w:rPr>
      </w:pPr>
      <w:r>
        <w:rPr>
          <w:rFonts w:hint="eastAsia" w:ascii="方正仿宋_GBK" w:hAnsi="仿宋" w:cs="方正仿宋_GBK"/>
          <w:color w:val="000000"/>
          <w:kern w:val="0"/>
          <w:szCs w:val="32"/>
        </w:rPr>
        <w:t>1</w:t>
      </w:r>
      <w:r>
        <w:rPr>
          <w:rFonts w:hint="eastAsia" w:ascii="方正仿宋_GBK" w:hAnsi="仿宋" w:cs="方正仿宋_GBK"/>
          <w:color w:val="000000"/>
          <w:kern w:val="0"/>
          <w:szCs w:val="32"/>
          <w:lang w:val="en-US" w:eastAsia="zh-CN"/>
        </w:rPr>
        <w:t>.</w:t>
      </w:r>
      <w:r>
        <w:rPr>
          <w:rFonts w:hint="eastAsia" w:ascii="方正仿宋_GBK" w:hAnsi="仿宋" w:cs="方正仿宋_GBK"/>
          <w:color w:val="000000"/>
          <w:kern w:val="0"/>
          <w:szCs w:val="32"/>
        </w:rPr>
        <w:t>超导相关技术研究</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高温超导材料失超特性研究；失超的产生和传播；超导材料在电磁和冷热循环下性能变化和损伤机理；高强度复合绝缘材料制备技术；基于局部放电特性的线圈绝缘状态评估；精密超高均匀度核磁共振超导系统。</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2</w:t>
      </w:r>
      <w:r>
        <w:rPr>
          <w:rFonts w:hint="eastAsia" w:ascii="方正仿宋_GBK" w:hAnsi="仿宋" w:cs="方正仿宋_GBK"/>
          <w:color w:val="000000"/>
          <w:kern w:val="0"/>
          <w:szCs w:val="32"/>
          <w:lang w:val="en-US" w:eastAsia="zh-CN"/>
        </w:rPr>
        <w:t>.</w:t>
      </w:r>
      <w:r>
        <w:rPr>
          <w:rFonts w:hint="eastAsia" w:ascii="方正仿宋_GBK" w:hAnsi="仿宋" w:cs="方正仿宋_GBK"/>
          <w:color w:val="000000"/>
          <w:kern w:val="0"/>
          <w:szCs w:val="32"/>
        </w:rPr>
        <w:t>氢能源和氨应用研究</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可再生能源制氢与可再生能源合成氨技术；液氨储存与输运技术；等离子体辅助燃烧技术；氨燃料内燃机技术。</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3</w:t>
      </w:r>
      <w:r>
        <w:rPr>
          <w:rFonts w:hint="eastAsia" w:ascii="方正仿宋_GBK" w:hAnsi="仿宋" w:cs="方正仿宋_GBK"/>
          <w:color w:val="000000"/>
          <w:kern w:val="0"/>
          <w:szCs w:val="32"/>
          <w:lang w:val="en-US" w:eastAsia="zh-CN"/>
        </w:rPr>
        <w:t>.</w:t>
      </w:r>
      <w:r>
        <w:rPr>
          <w:rFonts w:hint="eastAsia" w:ascii="方正仿宋_GBK" w:hAnsi="仿宋" w:cs="方正仿宋_GBK"/>
          <w:color w:val="000000"/>
          <w:kern w:val="0"/>
          <w:szCs w:val="32"/>
        </w:rPr>
        <w:t>中子技术应用研究</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基于微波与发射光谱的强流离子源关键参数测量技术研究；紧凑性加速器中子源数据可视化与共享系统设计研究；面向硼中子俘获疗法的混合辐射粒子的生物效应特性分析与模拟研究。</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4</w:t>
      </w:r>
      <w:r>
        <w:rPr>
          <w:rFonts w:hint="eastAsia" w:ascii="方正仿宋_GBK" w:hAnsi="仿宋" w:cs="方正仿宋_GBK"/>
          <w:color w:val="000000"/>
          <w:kern w:val="0"/>
          <w:szCs w:val="32"/>
          <w:lang w:val="en-US" w:eastAsia="zh-CN"/>
        </w:rPr>
        <w:t>.</w:t>
      </w:r>
      <w:r>
        <w:rPr>
          <w:rFonts w:hint="eastAsia" w:ascii="方正仿宋_GBK" w:hAnsi="仿宋" w:cs="方正仿宋_GBK"/>
          <w:color w:val="000000"/>
          <w:kern w:val="0"/>
          <w:szCs w:val="32"/>
        </w:rPr>
        <w:t>可再生能源研究</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能源小分子活化/转化前沿研究；燃料电池催化剂制备、电极膜结构优化以及衰退机制研究；新型太阳能电池关键材料与技术研究；高效热电材料的理论设计与筛选研究；生物质制备液体燃料和化学品前沿领域。</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5</w:t>
      </w:r>
      <w:r>
        <w:rPr>
          <w:rFonts w:hint="eastAsia" w:ascii="方正仿宋_GBK" w:hAnsi="仿宋" w:cs="方正仿宋_GBK"/>
          <w:color w:val="000000"/>
          <w:kern w:val="0"/>
          <w:szCs w:val="32"/>
          <w:lang w:val="en-US" w:eastAsia="zh-CN"/>
        </w:rPr>
        <w:t>.</w:t>
      </w:r>
      <w:r>
        <w:rPr>
          <w:rFonts w:hint="eastAsia" w:ascii="方正仿宋_GBK" w:hAnsi="仿宋" w:cs="方正仿宋_GBK"/>
          <w:color w:val="000000"/>
          <w:kern w:val="0"/>
          <w:szCs w:val="32"/>
        </w:rPr>
        <w:t>煤炭清洁高效利用研究</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煤炭清洁高效利用；智慧精准系统；矿山智能装备制造；地下空间资源利用。</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6</w:t>
      </w:r>
      <w:r>
        <w:rPr>
          <w:rFonts w:hint="eastAsia" w:ascii="方正仿宋_GBK" w:hAnsi="仿宋" w:cs="方正仿宋_GBK"/>
          <w:color w:val="000000"/>
          <w:kern w:val="0"/>
          <w:szCs w:val="32"/>
          <w:lang w:val="en-US" w:eastAsia="zh-CN"/>
        </w:rPr>
        <w:t>.</w:t>
      </w:r>
      <w:r>
        <w:rPr>
          <w:rFonts w:hint="eastAsia" w:ascii="方正仿宋_GBK" w:hAnsi="仿宋" w:cs="方正仿宋_GBK"/>
          <w:color w:val="000000"/>
          <w:kern w:val="0"/>
          <w:szCs w:val="32"/>
        </w:rPr>
        <w:t>智慧电力研究</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基于第三代半导体芯片的车用功率模块封装与应用关键技术研究；基于人工智能算法的新能源车用模块多目标优化设计；高耐受性甲醇重整质子交换膜燃料电池系统关键技术研究；光伏高效电解制氢系统关键技术研究；智慧多能源互补系统；陆上风电场雷击接闪机理及防治技术研究；城市架空配电网绝缘缺陷诊断及定位技术研究。</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7</w:t>
      </w:r>
      <w:r>
        <w:rPr>
          <w:rFonts w:hint="eastAsia" w:ascii="方正仿宋_GBK" w:hAnsi="仿宋" w:cs="方正仿宋_GBK"/>
          <w:color w:val="000000"/>
          <w:kern w:val="0"/>
          <w:szCs w:val="32"/>
          <w:lang w:val="en-US" w:eastAsia="zh-CN"/>
        </w:rPr>
        <w:t>.</w:t>
      </w:r>
      <w:r>
        <w:rPr>
          <w:rFonts w:hint="eastAsia" w:ascii="方正仿宋_GBK" w:hAnsi="仿宋" w:cs="方正仿宋_GBK"/>
          <w:color w:val="000000"/>
          <w:kern w:val="0"/>
          <w:szCs w:val="32"/>
        </w:rPr>
        <w:t>太赫兹相关技术研究</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大功率太赫兹回旋管技术；太赫兹光源、探测器、光学器件等研制；太赫兹成像技术；太赫兹标准化检测技术；太赫兹通讯技术。</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8</w:t>
      </w:r>
      <w:r>
        <w:rPr>
          <w:rFonts w:hint="eastAsia" w:ascii="方正仿宋_GBK" w:hAnsi="仿宋" w:cs="方正仿宋_GBK"/>
          <w:color w:val="000000"/>
          <w:kern w:val="0"/>
          <w:szCs w:val="32"/>
          <w:lang w:val="en-US" w:eastAsia="zh-CN"/>
        </w:rPr>
        <w:t>.</w:t>
      </w:r>
      <w:r>
        <w:rPr>
          <w:rFonts w:hint="eastAsia" w:ascii="方正仿宋_GBK" w:hAnsi="仿宋" w:cs="方正仿宋_GBK"/>
          <w:color w:val="000000"/>
          <w:kern w:val="0"/>
          <w:szCs w:val="32"/>
        </w:rPr>
        <w:t>聚变堆诊断相关技术研究</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聚变堆抗辐射电子学应用研究：电磁屏蔽、辐射加固、智能测控；聚变堆辐射屏蔽及防护应用研究：辐射监测、分析模拟、生物安全评估；聚变堆射线成像及能谱测量应用研究：射线探测、成像和反演、能谱解析；聚变堆激光诊断应用研究：物质表面损伤形貌动态监测技术；聚变堆杂质诊断应用研究：物质谱线大数据自洽性验证。</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eastAsia="方正仿宋_GBK" w:cs="方正仿宋_GBK"/>
          <w:color w:val="000000"/>
          <w:kern w:val="0"/>
          <w:szCs w:val="32"/>
          <w:lang w:val="en-US" w:eastAsia="zh-CN"/>
        </w:rPr>
      </w:pPr>
      <w:r>
        <w:rPr>
          <w:rFonts w:hint="eastAsia" w:ascii="方正仿宋_GBK" w:hAnsi="仿宋" w:cs="方正仿宋_GBK"/>
          <w:color w:val="000000"/>
          <w:kern w:val="0"/>
          <w:szCs w:val="32"/>
          <w:lang w:val="en-US" w:eastAsia="zh-CN"/>
        </w:rPr>
        <w:t>9.其他能源领域科学研究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textAlignment w:val="auto"/>
        <w:outlineLvl w:val="9"/>
        <w:rPr>
          <w:rFonts w:hint="eastAsia" w:ascii="黑体" w:hAnsi="黑体" w:eastAsia="黑体" w:cs="黑体"/>
          <w:color w:val="000000"/>
          <w:kern w:val="0"/>
          <w:szCs w:val="32"/>
        </w:rPr>
      </w:pPr>
      <w:r>
        <w:rPr>
          <w:rFonts w:hint="eastAsia" w:ascii="黑体" w:hAnsi="黑体" w:eastAsia="黑体" w:cs="黑体"/>
          <w:color w:val="000000"/>
          <w:kern w:val="0"/>
          <w:szCs w:val="32"/>
        </w:rPr>
        <w:t>三、</w:t>
      </w:r>
      <w:r>
        <w:rPr>
          <w:rFonts w:hint="eastAsia" w:ascii="黑体" w:hAnsi="黑体" w:eastAsia="黑体" w:cs="黑体"/>
          <w:color w:val="000000"/>
          <w:kern w:val="0"/>
          <w:szCs w:val="32"/>
          <w:lang w:eastAsia="zh-CN"/>
        </w:rPr>
        <w:t>大健康领域</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1、肿瘤免疫治疗研究</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将针对肿瘤、自身免疫性、自身炎症性疾病、感染性疾病、神经退行性疾病等免疫和炎症相关重大疾病，围绕免疫识别和应答这一核心科学问题，鉴定在疾病发生过程中起重要作用的新型免疫细胞亚群并阐明其发育分化途径、功能和效应机制；发现在免疫识别和炎症发生中起关键作用的新型免疫识别受体并研究其识别机制和效应通路，揭示机体调控免疫应答和炎症转归的新型负调因子并明确其作用机制。</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2、细胞治疗研究</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多能干细胞向造血细胞分化过程中的调控机制和红系祖细胞的体外扩增、分化成熟和临床应用；人类干细胞生物学和工程学，血液病发病机制和细胞治疗新方法。</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3、慢性疾病研究</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利用代谢组学、蛋白质组学、免疫学、生化、神经生物学、疾病动物模型等多种手段探究非感染性炎症及相关疾病中的固有免疫机制；在非感染性炎症发生方面，进一步揭示危险识别受体NLRP3的活化机制，并鉴定新型危险识别受体，尤其是识别各种异常代谢产物的危险识别受体，阐明其识别、活化和致病机制；在非感染性炎症调控方面，揭示神经系统和代谢产物对固有免疫和非感染性炎症的新型调控作用并阐明信号通路；发展靶向固有免疫和非感染性炎症的疾病干预策略。</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4、基因治疗研究</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多能干细胞基因编辑技术；利用基因编辑技术纠正疾病来源多能干细胞的突变位点，探索利用基因编辑治疗遗传性眼科疾病。利用Cas9/RecA介导的基因编辑技术，实现多种遗传性眼科疾病的基因治疗，改变遗传性眼病缺乏治疗手段的现状。</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5、微生物技术与药物研究</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结合体外细胞模型和小动物疾病模型筛选对免疫细胞、干细胞具有调节作用的微生物或微生物的次生代谢产物；测定微生物全基因组，研究其发挥作用的功能基因及关键代谢产物的合成通路；开展微生物基因工程改造，优化其效能；发展基于微生物制剂的新型生物疗法及新一代益生菌开发技术。</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6、纳米药物递送研究</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开发不同的纳米药物（或载体），将其与现有的药物、创新性小分子药物或者针对变异病毒的mRNA疫苗相结合，实现药物的精准靶向递送；实现高效率、精确将药物递送至靶点细胞，对多种细胞功能进行精准调控。对纳米药物（或载体）开发放大制备工艺，开发出具有临床治疗价值或者可以产业化的药物。</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7、其他</w:t>
      </w:r>
      <w:bookmarkEnd w:id="0"/>
      <w:r>
        <w:rPr>
          <w:rFonts w:hint="eastAsia" w:ascii="方正仿宋_GBK" w:hAnsi="仿宋" w:cs="方正仿宋_GBK"/>
          <w:color w:val="000000"/>
          <w:sz w:val="32"/>
          <w:szCs w:val="32"/>
          <w:shd w:val="clear" w:color="auto" w:fill="FFFFFF"/>
          <w:lang w:eastAsia="zh-CN"/>
        </w:rPr>
        <w:t>生命健康领域科学研究</w:t>
      </w:r>
      <w:bookmarkStart w:id="1" w:name="_GoBack"/>
      <w:bookmarkEnd w:id="1"/>
    </w:p>
    <w:sectPr>
      <w:footerReference r:id="rId3" w:type="default"/>
      <w:pgSz w:w="11906" w:h="16838"/>
      <w:pgMar w:top="2041" w:right="1531" w:bottom="2041" w:left="1531" w:header="851" w:footer="1588" w:gutter="0"/>
      <w:pgNumType w:fmt="numberInDash" w:start="1"/>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m&#10;HnywtwEAAFQDAAAOAAAAAAAAAAEAIAAAAB4BAABkcnMvZTJvRG9jLnhtbFBLBQYAAAAABgAGAFkB&#10;AABHBQAAAAA=&#10;">
              <v:fill on="f" focussize="0,0"/>
              <v:stroke on="f"/>
              <v:imagedata o:title=""/>
              <o:lock v:ext="edit" aspectratio="f"/>
              <v:textbox inset="0mm,0mm,0mm,0mm" style="mso-fit-shape-to-text:t;">
                <w:txbxContent>
                  <w:p>
                    <w:pPr>
                      <w:pStyle w:val="3"/>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E039A"/>
    <w:rsid w:val="018D10A3"/>
    <w:rsid w:val="02142B26"/>
    <w:rsid w:val="028927CB"/>
    <w:rsid w:val="063A5540"/>
    <w:rsid w:val="06D775EE"/>
    <w:rsid w:val="08001A0F"/>
    <w:rsid w:val="089165EA"/>
    <w:rsid w:val="09B56AC8"/>
    <w:rsid w:val="0AA4172E"/>
    <w:rsid w:val="0B0F5210"/>
    <w:rsid w:val="0BDA55B2"/>
    <w:rsid w:val="0BFB632E"/>
    <w:rsid w:val="0C2B772F"/>
    <w:rsid w:val="0C9238A7"/>
    <w:rsid w:val="0CB6558A"/>
    <w:rsid w:val="0CD37E84"/>
    <w:rsid w:val="0EDD16DA"/>
    <w:rsid w:val="0F425A66"/>
    <w:rsid w:val="0F5537EA"/>
    <w:rsid w:val="12745B16"/>
    <w:rsid w:val="132727DF"/>
    <w:rsid w:val="13F516A1"/>
    <w:rsid w:val="14D407BC"/>
    <w:rsid w:val="16586E41"/>
    <w:rsid w:val="18267BDC"/>
    <w:rsid w:val="19320F45"/>
    <w:rsid w:val="19D1661E"/>
    <w:rsid w:val="19FB5ED6"/>
    <w:rsid w:val="1A845E75"/>
    <w:rsid w:val="1ADF6270"/>
    <w:rsid w:val="1AF33DEC"/>
    <w:rsid w:val="1B061F13"/>
    <w:rsid w:val="1B4C3E0B"/>
    <w:rsid w:val="1C8140BB"/>
    <w:rsid w:val="1DB13F41"/>
    <w:rsid w:val="1E576C4B"/>
    <w:rsid w:val="1F1C1DF8"/>
    <w:rsid w:val="20CA023E"/>
    <w:rsid w:val="21172AD3"/>
    <w:rsid w:val="225F5E3A"/>
    <w:rsid w:val="228E595F"/>
    <w:rsid w:val="22CB7FE1"/>
    <w:rsid w:val="233E7325"/>
    <w:rsid w:val="239F5BD0"/>
    <w:rsid w:val="25680215"/>
    <w:rsid w:val="26881A6C"/>
    <w:rsid w:val="27C06EA7"/>
    <w:rsid w:val="28DA1EBD"/>
    <w:rsid w:val="29E619AC"/>
    <w:rsid w:val="2A5A4414"/>
    <w:rsid w:val="2E1A6750"/>
    <w:rsid w:val="34F9692C"/>
    <w:rsid w:val="35404332"/>
    <w:rsid w:val="360E60AD"/>
    <w:rsid w:val="3618166F"/>
    <w:rsid w:val="36506A1E"/>
    <w:rsid w:val="3763078B"/>
    <w:rsid w:val="390E328A"/>
    <w:rsid w:val="39737D01"/>
    <w:rsid w:val="3AA25624"/>
    <w:rsid w:val="3FB77682"/>
    <w:rsid w:val="406953A1"/>
    <w:rsid w:val="40950447"/>
    <w:rsid w:val="4338773E"/>
    <w:rsid w:val="43D51A0E"/>
    <w:rsid w:val="442F0F29"/>
    <w:rsid w:val="4629396F"/>
    <w:rsid w:val="487304F8"/>
    <w:rsid w:val="4B814A50"/>
    <w:rsid w:val="4C1025BF"/>
    <w:rsid w:val="4C563BED"/>
    <w:rsid w:val="4CC01AEE"/>
    <w:rsid w:val="4D0505E6"/>
    <w:rsid w:val="4E93341E"/>
    <w:rsid w:val="4EB427C4"/>
    <w:rsid w:val="4FF07B6F"/>
    <w:rsid w:val="508D57EF"/>
    <w:rsid w:val="50B93816"/>
    <w:rsid w:val="5104586C"/>
    <w:rsid w:val="51817E2A"/>
    <w:rsid w:val="53B11445"/>
    <w:rsid w:val="56103F75"/>
    <w:rsid w:val="56414EDD"/>
    <w:rsid w:val="56984C13"/>
    <w:rsid w:val="571B190B"/>
    <w:rsid w:val="58845388"/>
    <w:rsid w:val="58A80492"/>
    <w:rsid w:val="599618A7"/>
    <w:rsid w:val="5B4F5FCE"/>
    <w:rsid w:val="5C3B1151"/>
    <w:rsid w:val="5CC70977"/>
    <w:rsid w:val="5E555D26"/>
    <w:rsid w:val="5FEE715E"/>
    <w:rsid w:val="60CD113F"/>
    <w:rsid w:val="60DD378C"/>
    <w:rsid w:val="62565DA5"/>
    <w:rsid w:val="6483334E"/>
    <w:rsid w:val="660850DB"/>
    <w:rsid w:val="697D1B3D"/>
    <w:rsid w:val="6B146845"/>
    <w:rsid w:val="6BC256EA"/>
    <w:rsid w:val="6C685851"/>
    <w:rsid w:val="704A00C3"/>
    <w:rsid w:val="713E4458"/>
    <w:rsid w:val="72D10018"/>
    <w:rsid w:val="7404726F"/>
    <w:rsid w:val="74FC0B83"/>
    <w:rsid w:val="75536B6C"/>
    <w:rsid w:val="75DF17EB"/>
    <w:rsid w:val="786B431E"/>
    <w:rsid w:val="79762EB1"/>
    <w:rsid w:val="7AF90259"/>
    <w:rsid w:val="7B18712E"/>
    <w:rsid w:val="7B603BC0"/>
    <w:rsid w:val="7C1D0B58"/>
    <w:rsid w:val="7DC750BB"/>
    <w:rsid w:val="7E94740E"/>
    <w:rsid w:val="7EC75B0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rFonts w:eastAsia="仿宋_GB2312"/>
      <w:sz w:val="18"/>
      <w:szCs w:val="20"/>
    </w:rPr>
  </w:style>
  <w:style w:type="paragraph" w:styleId="4">
    <w:name w:val="Normal (Web)"/>
    <w:basedOn w:val="1"/>
    <w:qFormat/>
    <w:uiPriority w:val="0"/>
    <w:pPr>
      <w:widowControl/>
      <w:jc w:val="left"/>
    </w:pPr>
    <w:rPr>
      <w:rFonts w:ascii="宋体" w:hAnsi="宋体" w:eastAsia="宋体" w:cs="宋体"/>
      <w:kern w:val="0"/>
      <w:sz w:val="24"/>
      <w:szCs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xuxr</dc:creator>
  <cp:lastModifiedBy>蔡荣林</cp:lastModifiedBy>
  <dcterms:modified xsi:type="dcterms:W3CDTF">2021-11-22T03:07:13Z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